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CDB" w:rsidRPr="00B467BD" w:rsidRDefault="00B467BD" w:rsidP="00C75CDB">
      <w:pPr>
        <w:shd w:val="clear" w:color="auto" w:fill="FFFFFF"/>
        <w:autoSpaceDE w:val="0"/>
        <w:autoSpaceDN w:val="0"/>
        <w:adjustRightInd w:val="0"/>
        <w:spacing w:line="360" w:lineRule="auto"/>
        <w:ind w:firstLine="706"/>
        <w:jc w:val="center"/>
        <w:rPr>
          <w:rFonts w:ascii="Garamond" w:hAnsi="Garamond"/>
          <w:b/>
          <w:bCs/>
          <w:color w:val="000000"/>
          <w:lang w:val="en-US"/>
        </w:rPr>
      </w:pPr>
      <w:r>
        <w:rPr>
          <w:rFonts w:ascii="Garamond" w:hAnsi="Garamond"/>
          <w:b/>
          <w:bCs/>
          <w:color w:val="000000"/>
          <w:highlight w:val="green"/>
        </w:rPr>
        <w:t xml:space="preserve">Задание  </w:t>
      </w:r>
      <w:r>
        <w:rPr>
          <w:rFonts w:ascii="Garamond" w:hAnsi="Garamond"/>
          <w:b/>
          <w:bCs/>
          <w:color w:val="000000"/>
          <w:lang w:val="en-US"/>
        </w:rPr>
        <w:t>1</w:t>
      </w:r>
    </w:p>
    <w:p w:rsidR="00C75CDB" w:rsidRPr="00B65E64" w:rsidRDefault="00C75CDB" w:rsidP="00C75CDB">
      <w:pPr>
        <w:shd w:val="clear" w:color="auto" w:fill="FFFFFF"/>
        <w:autoSpaceDE w:val="0"/>
        <w:autoSpaceDN w:val="0"/>
        <w:adjustRightInd w:val="0"/>
        <w:spacing w:line="360" w:lineRule="auto"/>
        <w:ind w:firstLine="706"/>
        <w:jc w:val="center"/>
        <w:rPr>
          <w:rFonts w:ascii="Garamond" w:hAnsi="Garamond"/>
          <w:i/>
        </w:rPr>
      </w:pPr>
      <w:r w:rsidRPr="00B65E64">
        <w:rPr>
          <w:rFonts w:ascii="Garamond" w:hAnsi="Garamond"/>
          <w:i/>
          <w:color w:val="000000"/>
        </w:rPr>
        <w:t xml:space="preserve">На основании данных таблицы </w:t>
      </w:r>
      <w:r w:rsidRPr="00B65E64">
        <w:rPr>
          <w:rFonts w:ascii="Garamond" w:hAnsi="Garamond"/>
          <w:i/>
          <w:iCs/>
          <w:color w:val="000000"/>
        </w:rPr>
        <w:t>требуется:</w:t>
      </w:r>
    </w:p>
    <w:p w:rsidR="00C75CDB" w:rsidRPr="00B65E64" w:rsidRDefault="00C75CDB" w:rsidP="00C75CDB">
      <w:pPr>
        <w:shd w:val="clear" w:color="auto" w:fill="FFFFFF"/>
        <w:autoSpaceDE w:val="0"/>
        <w:autoSpaceDN w:val="0"/>
        <w:adjustRightInd w:val="0"/>
        <w:spacing w:line="360" w:lineRule="auto"/>
        <w:ind w:firstLine="706"/>
        <w:jc w:val="both"/>
        <w:rPr>
          <w:rFonts w:ascii="Garamond" w:hAnsi="Garamond"/>
        </w:rPr>
      </w:pPr>
      <w:r w:rsidRPr="00B65E64">
        <w:rPr>
          <w:rFonts w:ascii="Garamond" w:hAnsi="Garamond"/>
          <w:color w:val="000000"/>
        </w:rPr>
        <w:t>1. Осуществить расчет срока окупаемости инвестиционного проекта (РВ), допуская, что проектный денежный поток в течение года возникает равномерно.</w:t>
      </w:r>
    </w:p>
    <w:p w:rsidR="00C75CDB" w:rsidRPr="00B65E64" w:rsidRDefault="00C75CDB" w:rsidP="00C75CDB">
      <w:pPr>
        <w:shd w:val="clear" w:color="auto" w:fill="FFFFFF"/>
        <w:autoSpaceDE w:val="0"/>
        <w:autoSpaceDN w:val="0"/>
        <w:adjustRightInd w:val="0"/>
        <w:spacing w:line="360" w:lineRule="auto"/>
        <w:ind w:firstLine="706"/>
        <w:jc w:val="both"/>
        <w:rPr>
          <w:rFonts w:ascii="Garamond" w:hAnsi="Garamond"/>
        </w:rPr>
      </w:pPr>
      <w:r w:rsidRPr="00B65E64">
        <w:rPr>
          <w:rFonts w:ascii="Garamond" w:hAnsi="Garamond"/>
          <w:color w:val="000000"/>
        </w:rPr>
        <w:t>2.  Определить показатель дисконтированного срока окупаемости (</w:t>
      </w:r>
      <w:r w:rsidRPr="00B65E64">
        <w:rPr>
          <w:rFonts w:ascii="Garamond" w:hAnsi="Garamond"/>
          <w:color w:val="000000"/>
          <w:lang w:val="en-US"/>
        </w:rPr>
        <w:t>DPB</w:t>
      </w:r>
      <w:r w:rsidRPr="00B65E64">
        <w:rPr>
          <w:rFonts w:ascii="Garamond" w:hAnsi="Garamond"/>
          <w:color w:val="000000"/>
        </w:rPr>
        <w:t>).</w:t>
      </w:r>
    </w:p>
    <w:p w:rsidR="00C75CDB" w:rsidRDefault="00C75CDB" w:rsidP="00C75CDB">
      <w:pPr>
        <w:shd w:val="clear" w:color="auto" w:fill="FFFFFF"/>
        <w:autoSpaceDE w:val="0"/>
        <w:autoSpaceDN w:val="0"/>
        <w:adjustRightInd w:val="0"/>
        <w:spacing w:line="360" w:lineRule="auto"/>
        <w:ind w:firstLine="706"/>
        <w:jc w:val="both"/>
        <w:rPr>
          <w:rFonts w:ascii="Garamond" w:hAnsi="Garamond"/>
          <w:color w:val="000000"/>
        </w:rPr>
      </w:pPr>
      <w:r w:rsidRPr="00B65E64">
        <w:rPr>
          <w:rFonts w:ascii="Garamond" w:hAnsi="Garamond"/>
          <w:color w:val="000000"/>
        </w:rPr>
        <w:t>3.  Составить аналитическое заключение.</w:t>
      </w:r>
    </w:p>
    <w:p w:rsidR="00C75CDB" w:rsidRPr="00B65E64" w:rsidRDefault="00C75CDB" w:rsidP="00C75CDB">
      <w:pPr>
        <w:shd w:val="clear" w:color="auto" w:fill="FFFFFF"/>
        <w:autoSpaceDE w:val="0"/>
        <w:autoSpaceDN w:val="0"/>
        <w:adjustRightInd w:val="0"/>
        <w:spacing w:line="360" w:lineRule="auto"/>
        <w:ind w:firstLine="706"/>
        <w:jc w:val="both"/>
        <w:rPr>
          <w:rFonts w:ascii="Garamond" w:hAnsi="Garamond"/>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74"/>
        <w:gridCol w:w="1292"/>
        <w:gridCol w:w="1919"/>
        <w:gridCol w:w="1314"/>
        <w:gridCol w:w="1436"/>
      </w:tblGrid>
      <w:tr w:rsidR="00C75CDB" w:rsidRPr="00B65E64" w:rsidTr="00D12C4E">
        <w:trPr>
          <w:trHeight w:val="255"/>
        </w:trPr>
        <w:tc>
          <w:tcPr>
            <w:tcW w:w="3774" w:type="dxa"/>
            <w:vMerge w:val="restart"/>
            <w:shd w:val="clear" w:color="auto" w:fill="auto"/>
          </w:tcPr>
          <w:p w:rsidR="00C75CDB" w:rsidRPr="00B65E64" w:rsidRDefault="00C75CDB" w:rsidP="00D12C4E">
            <w:pPr>
              <w:jc w:val="both"/>
              <w:rPr>
                <w:rFonts w:ascii="Garamond" w:hAnsi="Garamond"/>
                <w:color w:val="000000"/>
                <w:sz w:val="20"/>
                <w:szCs w:val="20"/>
              </w:rPr>
            </w:pPr>
            <w:r w:rsidRPr="00B65E64">
              <w:rPr>
                <w:rFonts w:ascii="Garamond" w:hAnsi="Garamond"/>
                <w:color w:val="000000"/>
                <w:sz w:val="20"/>
                <w:szCs w:val="20"/>
              </w:rPr>
              <w:t>Расчетный период</w:t>
            </w:r>
          </w:p>
        </w:tc>
        <w:tc>
          <w:tcPr>
            <w:tcW w:w="4525" w:type="dxa"/>
            <w:gridSpan w:val="3"/>
            <w:shd w:val="clear" w:color="auto" w:fill="auto"/>
          </w:tcPr>
          <w:p w:rsidR="00C75CDB" w:rsidRPr="00B65E64" w:rsidRDefault="00C75CDB" w:rsidP="00D12C4E">
            <w:pPr>
              <w:jc w:val="both"/>
              <w:rPr>
                <w:rFonts w:ascii="Garamond" w:hAnsi="Garamond"/>
                <w:color w:val="000000"/>
                <w:sz w:val="20"/>
                <w:szCs w:val="20"/>
              </w:rPr>
            </w:pPr>
            <w:r w:rsidRPr="00B65E64">
              <w:rPr>
                <w:rFonts w:ascii="Garamond" w:hAnsi="Garamond"/>
                <w:color w:val="000000"/>
                <w:sz w:val="20"/>
                <w:szCs w:val="20"/>
              </w:rPr>
              <w:t>Проект</w:t>
            </w:r>
          </w:p>
        </w:tc>
        <w:tc>
          <w:tcPr>
            <w:tcW w:w="1436" w:type="dxa"/>
            <w:vMerge w:val="restart"/>
            <w:shd w:val="clear" w:color="auto" w:fill="auto"/>
          </w:tcPr>
          <w:p w:rsidR="00C75CDB" w:rsidRPr="00B65E64" w:rsidRDefault="00C75CDB" w:rsidP="00D12C4E">
            <w:pPr>
              <w:jc w:val="center"/>
              <w:rPr>
                <w:rFonts w:ascii="Garamond" w:hAnsi="Garamond"/>
                <w:color w:val="000000"/>
                <w:sz w:val="20"/>
                <w:szCs w:val="20"/>
              </w:rPr>
            </w:pPr>
            <w:r w:rsidRPr="00B65E64">
              <w:rPr>
                <w:rFonts w:ascii="Garamond" w:hAnsi="Garamond"/>
                <w:color w:val="000000"/>
                <w:sz w:val="20"/>
                <w:szCs w:val="20"/>
              </w:rPr>
              <w:t>Текущая стоимость нарастающим итогом</w:t>
            </w:r>
          </w:p>
        </w:tc>
      </w:tr>
      <w:tr w:rsidR="00C75CDB" w:rsidRPr="00B65E64" w:rsidTr="00D12C4E">
        <w:trPr>
          <w:trHeight w:val="1215"/>
        </w:trPr>
        <w:tc>
          <w:tcPr>
            <w:tcW w:w="3774" w:type="dxa"/>
            <w:vMerge/>
            <w:shd w:val="clear" w:color="auto" w:fill="auto"/>
            <w:vAlign w:val="center"/>
          </w:tcPr>
          <w:p w:rsidR="00C75CDB" w:rsidRPr="00B65E64" w:rsidRDefault="00C75CDB" w:rsidP="00D12C4E">
            <w:pPr>
              <w:rPr>
                <w:rFonts w:ascii="Garamond" w:hAnsi="Garamond"/>
                <w:color w:val="000000"/>
                <w:sz w:val="20"/>
                <w:szCs w:val="20"/>
              </w:rPr>
            </w:pPr>
          </w:p>
        </w:tc>
        <w:tc>
          <w:tcPr>
            <w:tcW w:w="1292" w:type="dxa"/>
            <w:shd w:val="clear" w:color="auto" w:fill="auto"/>
          </w:tcPr>
          <w:p w:rsidR="00C75CDB" w:rsidRPr="00B65E64" w:rsidRDefault="00C75CDB" w:rsidP="00D12C4E">
            <w:pPr>
              <w:jc w:val="both"/>
              <w:rPr>
                <w:rFonts w:ascii="Garamond" w:hAnsi="Garamond"/>
                <w:color w:val="000000"/>
                <w:sz w:val="20"/>
                <w:szCs w:val="20"/>
              </w:rPr>
            </w:pPr>
            <w:r w:rsidRPr="00B65E64">
              <w:rPr>
                <w:rFonts w:ascii="Garamond" w:hAnsi="Garamond"/>
                <w:color w:val="000000"/>
                <w:sz w:val="20"/>
                <w:szCs w:val="20"/>
              </w:rPr>
              <w:t>Будущая стоимость  денежных поступлений (FV)</w:t>
            </w:r>
          </w:p>
        </w:tc>
        <w:tc>
          <w:tcPr>
            <w:tcW w:w="1919" w:type="dxa"/>
            <w:shd w:val="clear" w:color="auto" w:fill="auto"/>
          </w:tcPr>
          <w:p w:rsidR="00C75CDB" w:rsidRPr="00B65E64" w:rsidRDefault="00C75CDB" w:rsidP="00D12C4E">
            <w:pPr>
              <w:jc w:val="both"/>
              <w:rPr>
                <w:rFonts w:ascii="Garamond" w:hAnsi="Garamond"/>
                <w:color w:val="000000"/>
                <w:sz w:val="20"/>
                <w:szCs w:val="20"/>
              </w:rPr>
            </w:pPr>
            <w:r w:rsidRPr="00B65E64">
              <w:rPr>
                <w:rFonts w:ascii="Garamond" w:hAnsi="Garamond"/>
                <w:color w:val="000000"/>
                <w:sz w:val="20"/>
                <w:szCs w:val="20"/>
              </w:rPr>
              <w:t>Дисконтированный множитель при ставке</w:t>
            </w:r>
            <w:r>
              <w:rPr>
                <w:rFonts w:ascii="Garamond" w:hAnsi="Garamond"/>
                <w:color w:val="000000"/>
                <w:sz w:val="20"/>
                <w:szCs w:val="20"/>
              </w:rPr>
              <w:t xml:space="preserve">  </w:t>
            </w:r>
            <w:r w:rsidRPr="00455FD6">
              <w:rPr>
                <w:rFonts w:ascii="Garamond" w:hAnsi="Garamond"/>
                <w:b/>
                <w:color w:val="000000"/>
                <w:sz w:val="20"/>
                <w:szCs w:val="20"/>
              </w:rPr>
              <w:t>15%</w:t>
            </w:r>
          </w:p>
        </w:tc>
        <w:tc>
          <w:tcPr>
            <w:tcW w:w="1314" w:type="dxa"/>
            <w:shd w:val="clear" w:color="auto" w:fill="auto"/>
          </w:tcPr>
          <w:p w:rsidR="00C75CDB" w:rsidRPr="00B65E64" w:rsidRDefault="00C75CDB" w:rsidP="00D12C4E">
            <w:pPr>
              <w:jc w:val="both"/>
              <w:rPr>
                <w:rFonts w:ascii="Garamond" w:hAnsi="Garamond"/>
                <w:color w:val="000000"/>
                <w:sz w:val="20"/>
                <w:szCs w:val="20"/>
              </w:rPr>
            </w:pPr>
            <w:r w:rsidRPr="00B65E64">
              <w:rPr>
                <w:rFonts w:ascii="Garamond" w:hAnsi="Garamond"/>
                <w:color w:val="000000"/>
                <w:sz w:val="20"/>
                <w:szCs w:val="20"/>
              </w:rPr>
              <w:t>Настоящая стоимость денежных поступлений</w:t>
            </w:r>
          </w:p>
        </w:tc>
        <w:tc>
          <w:tcPr>
            <w:tcW w:w="1436" w:type="dxa"/>
            <w:vMerge/>
            <w:shd w:val="clear" w:color="auto" w:fill="auto"/>
            <w:vAlign w:val="center"/>
          </w:tcPr>
          <w:p w:rsidR="00C75CDB" w:rsidRPr="00B65E64" w:rsidRDefault="00C75CDB" w:rsidP="00D12C4E">
            <w:pPr>
              <w:rPr>
                <w:rFonts w:ascii="Garamond" w:hAnsi="Garamond"/>
                <w:color w:val="000000"/>
                <w:sz w:val="20"/>
                <w:szCs w:val="20"/>
              </w:rPr>
            </w:pPr>
          </w:p>
        </w:tc>
      </w:tr>
      <w:tr w:rsidR="00C75CDB" w:rsidRPr="00B65E64" w:rsidTr="00D12C4E">
        <w:trPr>
          <w:trHeight w:val="255"/>
        </w:trPr>
        <w:tc>
          <w:tcPr>
            <w:tcW w:w="3774" w:type="dxa"/>
            <w:shd w:val="clear" w:color="auto" w:fill="auto"/>
          </w:tcPr>
          <w:p w:rsidR="00C75CDB" w:rsidRPr="00B65E64" w:rsidRDefault="00C75CDB" w:rsidP="00D12C4E">
            <w:pPr>
              <w:jc w:val="both"/>
              <w:rPr>
                <w:rFonts w:ascii="Garamond" w:hAnsi="Garamond"/>
                <w:color w:val="000000"/>
                <w:sz w:val="20"/>
                <w:szCs w:val="20"/>
              </w:rPr>
            </w:pPr>
            <w:r w:rsidRPr="00B65E64">
              <w:rPr>
                <w:rFonts w:ascii="Garamond" w:hAnsi="Garamond"/>
                <w:color w:val="000000"/>
                <w:sz w:val="20"/>
                <w:szCs w:val="20"/>
              </w:rPr>
              <w:t>1</w:t>
            </w:r>
          </w:p>
        </w:tc>
        <w:tc>
          <w:tcPr>
            <w:tcW w:w="1292" w:type="dxa"/>
            <w:shd w:val="clear" w:color="auto" w:fill="auto"/>
          </w:tcPr>
          <w:p w:rsidR="00C75CDB" w:rsidRPr="00B65E64" w:rsidRDefault="00C75CDB" w:rsidP="00D12C4E">
            <w:pPr>
              <w:jc w:val="both"/>
              <w:rPr>
                <w:rFonts w:ascii="Garamond" w:hAnsi="Garamond"/>
                <w:color w:val="000000"/>
                <w:sz w:val="20"/>
                <w:szCs w:val="20"/>
              </w:rPr>
            </w:pPr>
            <w:r w:rsidRPr="00B65E64">
              <w:rPr>
                <w:rFonts w:ascii="Garamond" w:hAnsi="Garamond"/>
                <w:color w:val="000000"/>
                <w:sz w:val="20"/>
                <w:szCs w:val="20"/>
              </w:rPr>
              <w:t>228</w:t>
            </w:r>
            <w:r>
              <w:rPr>
                <w:rFonts w:ascii="Garamond" w:hAnsi="Garamond"/>
                <w:color w:val="000000"/>
              </w:rPr>
              <w:t>+*</w:t>
            </w:r>
          </w:p>
        </w:tc>
        <w:tc>
          <w:tcPr>
            <w:tcW w:w="1919" w:type="dxa"/>
            <w:shd w:val="clear" w:color="auto" w:fill="auto"/>
          </w:tcPr>
          <w:p w:rsidR="00C75CDB" w:rsidRPr="00B65E64" w:rsidRDefault="00C75CDB" w:rsidP="00D12C4E">
            <w:pPr>
              <w:jc w:val="both"/>
              <w:rPr>
                <w:rFonts w:ascii="Garamond" w:hAnsi="Garamond"/>
                <w:color w:val="000000"/>
                <w:sz w:val="20"/>
                <w:szCs w:val="20"/>
              </w:rPr>
            </w:pPr>
          </w:p>
        </w:tc>
        <w:tc>
          <w:tcPr>
            <w:tcW w:w="1314" w:type="dxa"/>
            <w:shd w:val="clear" w:color="auto" w:fill="auto"/>
          </w:tcPr>
          <w:p w:rsidR="00C75CDB" w:rsidRPr="00B65E64" w:rsidRDefault="00C75CDB" w:rsidP="00D12C4E">
            <w:pPr>
              <w:jc w:val="both"/>
              <w:rPr>
                <w:rFonts w:ascii="Garamond" w:hAnsi="Garamond"/>
                <w:color w:val="000000"/>
                <w:sz w:val="20"/>
                <w:szCs w:val="20"/>
              </w:rPr>
            </w:pPr>
          </w:p>
        </w:tc>
        <w:tc>
          <w:tcPr>
            <w:tcW w:w="1436" w:type="dxa"/>
            <w:shd w:val="clear" w:color="auto" w:fill="auto"/>
          </w:tcPr>
          <w:p w:rsidR="00C75CDB" w:rsidRPr="00B65E64" w:rsidRDefault="00C75CDB" w:rsidP="00D12C4E">
            <w:pPr>
              <w:jc w:val="both"/>
              <w:rPr>
                <w:rFonts w:ascii="Garamond" w:hAnsi="Garamond"/>
                <w:color w:val="000000"/>
                <w:sz w:val="20"/>
                <w:szCs w:val="20"/>
              </w:rPr>
            </w:pPr>
          </w:p>
        </w:tc>
      </w:tr>
      <w:tr w:rsidR="00C75CDB" w:rsidRPr="00B65E64" w:rsidTr="00D12C4E">
        <w:trPr>
          <w:trHeight w:val="255"/>
        </w:trPr>
        <w:tc>
          <w:tcPr>
            <w:tcW w:w="3774" w:type="dxa"/>
            <w:shd w:val="clear" w:color="auto" w:fill="auto"/>
          </w:tcPr>
          <w:p w:rsidR="00C75CDB" w:rsidRPr="00B65E64" w:rsidRDefault="00C75CDB" w:rsidP="00D12C4E">
            <w:pPr>
              <w:jc w:val="both"/>
              <w:rPr>
                <w:rFonts w:ascii="Garamond" w:hAnsi="Garamond"/>
                <w:color w:val="000000"/>
                <w:sz w:val="20"/>
                <w:szCs w:val="20"/>
              </w:rPr>
            </w:pPr>
            <w:r w:rsidRPr="00B65E64">
              <w:rPr>
                <w:rFonts w:ascii="Garamond" w:hAnsi="Garamond"/>
                <w:color w:val="000000"/>
                <w:sz w:val="20"/>
                <w:szCs w:val="20"/>
              </w:rPr>
              <w:t>2</w:t>
            </w:r>
          </w:p>
        </w:tc>
        <w:tc>
          <w:tcPr>
            <w:tcW w:w="1292" w:type="dxa"/>
            <w:shd w:val="clear" w:color="auto" w:fill="auto"/>
          </w:tcPr>
          <w:p w:rsidR="00C75CDB" w:rsidRPr="00B65E64" w:rsidRDefault="00C75CDB" w:rsidP="00D12C4E">
            <w:pPr>
              <w:jc w:val="both"/>
              <w:rPr>
                <w:rFonts w:ascii="Garamond" w:hAnsi="Garamond"/>
                <w:color w:val="000000"/>
                <w:sz w:val="20"/>
                <w:szCs w:val="20"/>
              </w:rPr>
            </w:pPr>
            <w:r w:rsidRPr="00B65E64">
              <w:rPr>
                <w:rFonts w:ascii="Garamond" w:hAnsi="Garamond"/>
                <w:color w:val="000000"/>
                <w:sz w:val="20"/>
                <w:szCs w:val="20"/>
              </w:rPr>
              <w:t>544</w:t>
            </w:r>
            <w:r>
              <w:rPr>
                <w:rFonts w:ascii="Garamond" w:hAnsi="Garamond"/>
                <w:color w:val="000000"/>
              </w:rPr>
              <w:t>+*</w:t>
            </w:r>
          </w:p>
        </w:tc>
        <w:tc>
          <w:tcPr>
            <w:tcW w:w="1919" w:type="dxa"/>
            <w:shd w:val="clear" w:color="auto" w:fill="auto"/>
          </w:tcPr>
          <w:p w:rsidR="00C75CDB" w:rsidRPr="00B65E64" w:rsidRDefault="00C75CDB" w:rsidP="00D12C4E">
            <w:pPr>
              <w:jc w:val="both"/>
              <w:rPr>
                <w:rFonts w:ascii="Garamond" w:hAnsi="Garamond"/>
                <w:color w:val="000000"/>
                <w:sz w:val="20"/>
                <w:szCs w:val="20"/>
              </w:rPr>
            </w:pPr>
          </w:p>
        </w:tc>
        <w:tc>
          <w:tcPr>
            <w:tcW w:w="1314" w:type="dxa"/>
            <w:shd w:val="clear" w:color="auto" w:fill="auto"/>
          </w:tcPr>
          <w:p w:rsidR="00C75CDB" w:rsidRPr="00B65E64" w:rsidRDefault="00C75CDB" w:rsidP="00D12C4E">
            <w:pPr>
              <w:jc w:val="both"/>
              <w:rPr>
                <w:rFonts w:ascii="Garamond" w:hAnsi="Garamond"/>
                <w:color w:val="000000"/>
                <w:sz w:val="20"/>
                <w:szCs w:val="20"/>
              </w:rPr>
            </w:pPr>
          </w:p>
        </w:tc>
        <w:tc>
          <w:tcPr>
            <w:tcW w:w="1436" w:type="dxa"/>
            <w:shd w:val="clear" w:color="auto" w:fill="auto"/>
          </w:tcPr>
          <w:p w:rsidR="00C75CDB" w:rsidRPr="00B65E64" w:rsidRDefault="00C75CDB" w:rsidP="00D12C4E">
            <w:pPr>
              <w:jc w:val="both"/>
              <w:rPr>
                <w:rFonts w:ascii="Garamond" w:hAnsi="Garamond"/>
                <w:color w:val="000000"/>
                <w:sz w:val="20"/>
                <w:szCs w:val="20"/>
              </w:rPr>
            </w:pPr>
          </w:p>
        </w:tc>
      </w:tr>
      <w:tr w:rsidR="00C75CDB" w:rsidRPr="00B65E64" w:rsidTr="00D12C4E">
        <w:trPr>
          <w:trHeight w:val="255"/>
        </w:trPr>
        <w:tc>
          <w:tcPr>
            <w:tcW w:w="3774" w:type="dxa"/>
            <w:shd w:val="clear" w:color="auto" w:fill="auto"/>
          </w:tcPr>
          <w:p w:rsidR="00C75CDB" w:rsidRPr="00B65E64" w:rsidRDefault="00C75CDB" w:rsidP="00D12C4E">
            <w:pPr>
              <w:jc w:val="both"/>
              <w:rPr>
                <w:rFonts w:ascii="Garamond" w:hAnsi="Garamond"/>
                <w:color w:val="000000"/>
                <w:sz w:val="20"/>
                <w:szCs w:val="20"/>
              </w:rPr>
            </w:pPr>
            <w:r w:rsidRPr="00B65E64">
              <w:rPr>
                <w:rFonts w:ascii="Garamond" w:hAnsi="Garamond"/>
                <w:color w:val="000000"/>
                <w:sz w:val="20"/>
                <w:szCs w:val="20"/>
              </w:rPr>
              <w:t>3</w:t>
            </w:r>
          </w:p>
        </w:tc>
        <w:tc>
          <w:tcPr>
            <w:tcW w:w="1292" w:type="dxa"/>
            <w:shd w:val="clear" w:color="auto" w:fill="auto"/>
          </w:tcPr>
          <w:p w:rsidR="00C75CDB" w:rsidRPr="00B65E64" w:rsidRDefault="00C75CDB" w:rsidP="00D12C4E">
            <w:pPr>
              <w:jc w:val="both"/>
              <w:rPr>
                <w:rFonts w:ascii="Garamond" w:hAnsi="Garamond"/>
                <w:color w:val="000000"/>
                <w:sz w:val="20"/>
                <w:szCs w:val="20"/>
              </w:rPr>
            </w:pPr>
            <w:r w:rsidRPr="00B65E64">
              <w:rPr>
                <w:rFonts w:ascii="Garamond" w:hAnsi="Garamond"/>
                <w:color w:val="000000"/>
                <w:sz w:val="20"/>
                <w:szCs w:val="20"/>
              </w:rPr>
              <w:t>778.50</w:t>
            </w:r>
            <w:r>
              <w:rPr>
                <w:rFonts w:ascii="Garamond" w:hAnsi="Garamond"/>
                <w:color w:val="000000"/>
              </w:rPr>
              <w:t>+*</w:t>
            </w:r>
          </w:p>
        </w:tc>
        <w:tc>
          <w:tcPr>
            <w:tcW w:w="1919" w:type="dxa"/>
            <w:shd w:val="clear" w:color="auto" w:fill="auto"/>
          </w:tcPr>
          <w:p w:rsidR="00C75CDB" w:rsidRPr="00B65E64" w:rsidRDefault="00C75CDB" w:rsidP="00D12C4E">
            <w:pPr>
              <w:jc w:val="both"/>
              <w:rPr>
                <w:rFonts w:ascii="Garamond" w:hAnsi="Garamond"/>
                <w:color w:val="000000"/>
                <w:sz w:val="20"/>
                <w:szCs w:val="20"/>
              </w:rPr>
            </w:pPr>
          </w:p>
        </w:tc>
        <w:tc>
          <w:tcPr>
            <w:tcW w:w="1314" w:type="dxa"/>
            <w:shd w:val="clear" w:color="auto" w:fill="auto"/>
          </w:tcPr>
          <w:p w:rsidR="00C75CDB" w:rsidRPr="00B65E64" w:rsidRDefault="00C75CDB" w:rsidP="00D12C4E">
            <w:pPr>
              <w:jc w:val="both"/>
              <w:rPr>
                <w:rFonts w:ascii="Garamond" w:hAnsi="Garamond"/>
                <w:color w:val="000000"/>
                <w:sz w:val="20"/>
                <w:szCs w:val="20"/>
              </w:rPr>
            </w:pPr>
          </w:p>
        </w:tc>
        <w:tc>
          <w:tcPr>
            <w:tcW w:w="1436" w:type="dxa"/>
            <w:shd w:val="clear" w:color="auto" w:fill="auto"/>
          </w:tcPr>
          <w:p w:rsidR="00C75CDB" w:rsidRPr="00B65E64" w:rsidRDefault="00C75CDB" w:rsidP="00D12C4E">
            <w:pPr>
              <w:jc w:val="both"/>
              <w:rPr>
                <w:rFonts w:ascii="Garamond" w:hAnsi="Garamond"/>
                <w:color w:val="000000"/>
                <w:sz w:val="20"/>
                <w:szCs w:val="20"/>
              </w:rPr>
            </w:pPr>
          </w:p>
        </w:tc>
      </w:tr>
      <w:tr w:rsidR="00C75CDB" w:rsidRPr="00B65E64" w:rsidTr="00D12C4E">
        <w:trPr>
          <w:trHeight w:val="255"/>
        </w:trPr>
        <w:tc>
          <w:tcPr>
            <w:tcW w:w="3774" w:type="dxa"/>
            <w:shd w:val="clear" w:color="auto" w:fill="auto"/>
          </w:tcPr>
          <w:p w:rsidR="00C75CDB" w:rsidRPr="00B65E64" w:rsidRDefault="00C75CDB" w:rsidP="00D12C4E">
            <w:pPr>
              <w:jc w:val="both"/>
              <w:rPr>
                <w:rFonts w:ascii="Garamond" w:hAnsi="Garamond"/>
                <w:color w:val="000000"/>
                <w:sz w:val="20"/>
                <w:szCs w:val="20"/>
              </w:rPr>
            </w:pPr>
            <w:r w:rsidRPr="00B65E64">
              <w:rPr>
                <w:rFonts w:ascii="Garamond" w:hAnsi="Garamond"/>
                <w:color w:val="000000"/>
                <w:sz w:val="20"/>
                <w:szCs w:val="20"/>
              </w:rPr>
              <w:t>итого</w:t>
            </w:r>
          </w:p>
        </w:tc>
        <w:tc>
          <w:tcPr>
            <w:tcW w:w="1292" w:type="dxa"/>
            <w:shd w:val="clear" w:color="auto" w:fill="auto"/>
          </w:tcPr>
          <w:p w:rsidR="00C75CDB" w:rsidRPr="00B65E64" w:rsidRDefault="00C75CDB" w:rsidP="00D12C4E">
            <w:pPr>
              <w:jc w:val="both"/>
              <w:rPr>
                <w:rFonts w:ascii="Garamond" w:hAnsi="Garamond"/>
                <w:color w:val="000000"/>
                <w:sz w:val="20"/>
                <w:szCs w:val="20"/>
              </w:rPr>
            </w:pPr>
          </w:p>
        </w:tc>
        <w:tc>
          <w:tcPr>
            <w:tcW w:w="1919" w:type="dxa"/>
            <w:shd w:val="clear" w:color="auto" w:fill="auto"/>
          </w:tcPr>
          <w:p w:rsidR="00C75CDB" w:rsidRPr="00B65E64" w:rsidRDefault="00C75CDB" w:rsidP="00D12C4E">
            <w:pPr>
              <w:jc w:val="both"/>
              <w:rPr>
                <w:rFonts w:ascii="Garamond" w:hAnsi="Garamond"/>
                <w:color w:val="000000"/>
                <w:sz w:val="20"/>
                <w:szCs w:val="20"/>
              </w:rPr>
            </w:pPr>
            <w:r w:rsidRPr="00B65E64">
              <w:rPr>
                <w:rFonts w:ascii="Garamond" w:hAnsi="Garamond"/>
                <w:color w:val="000000"/>
                <w:sz w:val="20"/>
                <w:szCs w:val="20"/>
              </w:rPr>
              <w:t>х</w:t>
            </w:r>
          </w:p>
        </w:tc>
        <w:tc>
          <w:tcPr>
            <w:tcW w:w="1314" w:type="dxa"/>
            <w:shd w:val="clear" w:color="auto" w:fill="auto"/>
          </w:tcPr>
          <w:p w:rsidR="00C75CDB" w:rsidRPr="00B65E64" w:rsidRDefault="00C75CDB" w:rsidP="00D12C4E">
            <w:pPr>
              <w:jc w:val="both"/>
              <w:rPr>
                <w:rFonts w:ascii="Garamond" w:hAnsi="Garamond"/>
                <w:color w:val="000000"/>
                <w:sz w:val="20"/>
                <w:szCs w:val="20"/>
              </w:rPr>
            </w:pPr>
          </w:p>
        </w:tc>
        <w:tc>
          <w:tcPr>
            <w:tcW w:w="1436" w:type="dxa"/>
            <w:shd w:val="clear" w:color="auto" w:fill="auto"/>
          </w:tcPr>
          <w:p w:rsidR="00C75CDB" w:rsidRPr="00B65E64" w:rsidRDefault="00C75CDB" w:rsidP="00D12C4E">
            <w:pPr>
              <w:jc w:val="both"/>
              <w:rPr>
                <w:rFonts w:ascii="Garamond" w:hAnsi="Garamond"/>
                <w:color w:val="000000"/>
                <w:sz w:val="20"/>
                <w:szCs w:val="20"/>
              </w:rPr>
            </w:pPr>
          </w:p>
        </w:tc>
      </w:tr>
    </w:tbl>
    <w:p w:rsidR="00C75CDB" w:rsidRPr="00B65E64" w:rsidRDefault="00C75CDB" w:rsidP="00C75CDB">
      <w:pPr>
        <w:shd w:val="clear" w:color="auto" w:fill="FFFFFF"/>
        <w:autoSpaceDE w:val="0"/>
        <w:autoSpaceDN w:val="0"/>
        <w:adjustRightInd w:val="0"/>
        <w:rPr>
          <w:rFonts w:ascii="Garamond" w:hAnsi="Garamond"/>
          <w:color w:val="000000"/>
        </w:rPr>
      </w:pPr>
    </w:p>
    <w:p w:rsidR="00C75CDB" w:rsidRPr="00DC3314" w:rsidRDefault="00C75CDB" w:rsidP="00C75CDB">
      <w:pPr>
        <w:shd w:val="clear" w:color="auto" w:fill="FFFFFF"/>
        <w:autoSpaceDE w:val="0"/>
        <w:autoSpaceDN w:val="0"/>
        <w:adjustRightInd w:val="0"/>
        <w:spacing w:after="0" w:line="360" w:lineRule="auto"/>
        <w:ind w:firstLine="709"/>
        <w:jc w:val="both"/>
        <w:rPr>
          <w:rFonts w:ascii="Times New Roman" w:hAnsi="Times New Roman"/>
          <w:b/>
          <w:i/>
          <w:color w:val="000000"/>
        </w:rPr>
      </w:pPr>
      <w:r w:rsidRPr="00DC3314">
        <w:rPr>
          <w:rFonts w:ascii="Times New Roman" w:hAnsi="Times New Roman"/>
          <w:b/>
          <w:i/>
          <w:color w:val="000000"/>
        </w:rPr>
        <w:t>ОТВЕТ</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Pr>
          <w:rFonts w:ascii="Times New Roman" w:hAnsi="Times New Roman"/>
          <w:color w:val="000000"/>
        </w:rPr>
        <w:t>Таблица 7. – Расчет настоящей стоимости денежных поступлений</w:t>
      </w:r>
    </w:p>
    <w:tbl>
      <w:tblPr>
        <w:tblW w:w="8300" w:type="dxa"/>
        <w:tblInd w:w="93" w:type="dxa"/>
        <w:tblLook w:val="04A0"/>
      </w:tblPr>
      <w:tblGrid>
        <w:gridCol w:w="1319"/>
        <w:gridCol w:w="1932"/>
        <w:gridCol w:w="2053"/>
        <w:gridCol w:w="1426"/>
        <w:gridCol w:w="1570"/>
      </w:tblGrid>
      <w:tr w:rsidR="00C75CDB" w:rsidRPr="00D868A9" w:rsidTr="00D12C4E">
        <w:trPr>
          <w:trHeight w:val="300"/>
        </w:trPr>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5CDB" w:rsidRPr="00D868A9" w:rsidRDefault="00C75CDB" w:rsidP="00D12C4E">
            <w:pPr>
              <w:spacing w:after="0" w:line="240" w:lineRule="auto"/>
              <w:jc w:val="center"/>
              <w:rPr>
                <w:rFonts w:ascii="Times New Roman" w:eastAsia="Times New Roman" w:hAnsi="Times New Roman"/>
                <w:color w:val="000000"/>
                <w:lang w:eastAsia="ru-RU"/>
              </w:rPr>
            </w:pPr>
            <w:r w:rsidRPr="00D868A9">
              <w:rPr>
                <w:rFonts w:ascii="Times New Roman" w:eastAsia="Times New Roman" w:hAnsi="Times New Roman"/>
                <w:color w:val="000000"/>
                <w:lang w:eastAsia="ru-RU"/>
              </w:rPr>
              <w:t>Расчетный период</w:t>
            </w:r>
          </w:p>
        </w:tc>
        <w:tc>
          <w:tcPr>
            <w:tcW w:w="5411" w:type="dxa"/>
            <w:gridSpan w:val="3"/>
            <w:tcBorders>
              <w:top w:val="single" w:sz="4" w:space="0" w:color="auto"/>
              <w:left w:val="nil"/>
              <w:bottom w:val="single" w:sz="4" w:space="0" w:color="auto"/>
              <w:right w:val="single" w:sz="4" w:space="0" w:color="auto"/>
            </w:tcBorders>
            <w:shd w:val="clear" w:color="auto" w:fill="auto"/>
            <w:vAlign w:val="center"/>
            <w:hideMark/>
          </w:tcPr>
          <w:p w:rsidR="00C75CDB" w:rsidRPr="00D868A9" w:rsidRDefault="00C75CDB" w:rsidP="00D12C4E">
            <w:pPr>
              <w:spacing w:after="0" w:line="240" w:lineRule="auto"/>
              <w:jc w:val="center"/>
              <w:rPr>
                <w:rFonts w:ascii="Times New Roman" w:eastAsia="Times New Roman" w:hAnsi="Times New Roman"/>
                <w:color w:val="000000"/>
                <w:lang w:eastAsia="ru-RU"/>
              </w:rPr>
            </w:pPr>
            <w:r w:rsidRPr="00D868A9">
              <w:rPr>
                <w:rFonts w:ascii="Times New Roman" w:eastAsia="Times New Roman" w:hAnsi="Times New Roman"/>
                <w:color w:val="000000"/>
                <w:lang w:eastAsia="ru-RU"/>
              </w:rPr>
              <w:t>Проект</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5CDB" w:rsidRPr="00D868A9" w:rsidRDefault="00C75CDB" w:rsidP="00D12C4E">
            <w:pPr>
              <w:spacing w:after="0" w:line="240" w:lineRule="auto"/>
              <w:jc w:val="center"/>
              <w:rPr>
                <w:rFonts w:ascii="Times New Roman" w:eastAsia="Times New Roman" w:hAnsi="Times New Roman"/>
                <w:color w:val="000000"/>
                <w:lang w:eastAsia="ru-RU"/>
              </w:rPr>
            </w:pPr>
            <w:r w:rsidRPr="00D868A9">
              <w:rPr>
                <w:rFonts w:ascii="Times New Roman" w:eastAsia="Times New Roman" w:hAnsi="Times New Roman"/>
                <w:color w:val="000000"/>
                <w:lang w:eastAsia="ru-RU"/>
              </w:rPr>
              <w:t>Текущая стоимость нарастающим итогом</w:t>
            </w:r>
          </w:p>
        </w:tc>
      </w:tr>
      <w:tr w:rsidR="00C75CDB" w:rsidRPr="00D868A9" w:rsidTr="00D12C4E">
        <w:trPr>
          <w:trHeight w:val="1500"/>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C75CDB" w:rsidRPr="00D868A9" w:rsidRDefault="00C75CDB" w:rsidP="00D12C4E">
            <w:pPr>
              <w:spacing w:after="0" w:line="240" w:lineRule="auto"/>
              <w:rPr>
                <w:rFonts w:ascii="Times New Roman" w:eastAsia="Times New Roman" w:hAnsi="Times New Roman"/>
                <w:color w:val="000000"/>
                <w:lang w:eastAsia="ru-RU"/>
              </w:rPr>
            </w:pPr>
          </w:p>
        </w:tc>
        <w:tc>
          <w:tcPr>
            <w:tcW w:w="1932" w:type="dxa"/>
            <w:tcBorders>
              <w:top w:val="nil"/>
              <w:left w:val="nil"/>
              <w:bottom w:val="single" w:sz="4" w:space="0" w:color="auto"/>
              <w:right w:val="single" w:sz="4" w:space="0" w:color="auto"/>
            </w:tcBorders>
            <w:shd w:val="clear" w:color="auto" w:fill="auto"/>
            <w:vAlign w:val="center"/>
            <w:hideMark/>
          </w:tcPr>
          <w:p w:rsidR="00C75CDB" w:rsidRPr="00D868A9" w:rsidRDefault="00C75CDB" w:rsidP="00D12C4E">
            <w:pPr>
              <w:spacing w:after="0" w:line="240" w:lineRule="auto"/>
              <w:jc w:val="center"/>
              <w:rPr>
                <w:rFonts w:ascii="Times New Roman" w:eastAsia="Times New Roman" w:hAnsi="Times New Roman"/>
                <w:color w:val="000000"/>
                <w:lang w:eastAsia="ru-RU"/>
              </w:rPr>
            </w:pPr>
            <w:r w:rsidRPr="00D868A9">
              <w:rPr>
                <w:rFonts w:ascii="Times New Roman" w:eastAsia="Times New Roman" w:hAnsi="Times New Roman"/>
                <w:color w:val="000000"/>
                <w:lang w:eastAsia="ru-RU"/>
              </w:rPr>
              <w:t>Будущая стоимость  денежных поступлений (FV)</w:t>
            </w:r>
          </w:p>
        </w:tc>
        <w:tc>
          <w:tcPr>
            <w:tcW w:w="2053" w:type="dxa"/>
            <w:tcBorders>
              <w:top w:val="nil"/>
              <w:left w:val="nil"/>
              <w:bottom w:val="single" w:sz="4" w:space="0" w:color="auto"/>
              <w:right w:val="single" w:sz="4" w:space="0" w:color="auto"/>
            </w:tcBorders>
            <w:shd w:val="clear" w:color="auto" w:fill="auto"/>
            <w:vAlign w:val="center"/>
            <w:hideMark/>
          </w:tcPr>
          <w:p w:rsidR="00C75CDB" w:rsidRPr="00D868A9" w:rsidRDefault="00C75CDB" w:rsidP="00D12C4E">
            <w:pPr>
              <w:spacing w:after="0" w:line="240" w:lineRule="auto"/>
              <w:jc w:val="center"/>
              <w:rPr>
                <w:rFonts w:ascii="Times New Roman" w:eastAsia="Times New Roman" w:hAnsi="Times New Roman"/>
                <w:color w:val="000000"/>
                <w:lang w:eastAsia="ru-RU"/>
              </w:rPr>
            </w:pPr>
            <w:r w:rsidRPr="00D868A9">
              <w:rPr>
                <w:rFonts w:ascii="Times New Roman" w:eastAsia="Times New Roman" w:hAnsi="Times New Roman"/>
                <w:color w:val="000000"/>
                <w:lang w:eastAsia="ru-RU"/>
              </w:rPr>
              <w:t xml:space="preserve">Дисконтированный множитель при ставке  </w:t>
            </w:r>
            <w:r w:rsidRPr="00D868A9">
              <w:rPr>
                <w:rFonts w:ascii="Times New Roman" w:eastAsia="Times New Roman" w:hAnsi="Times New Roman"/>
                <w:b/>
                <w:bCs/>
                <w:color w:val="000000"/>
                <w:lang w:eastAsia="ru-RU"/>
              </w:rPr>
              <w:t>15%</w:t>
            </w:r>
          </w:p>
        </w:tc>
        <w:tc>
          <w:tcPr>
            <w:tcW w:w="1426" w:type="dxa"/>
            <w:tcBorders>
              <w:top w:val="nil"/>
              <w:left w:val="nil"/>
              <w:bottom w:val="single" w:sz="4" w:space="0" w:color="auto"/>
              <w:right w:val="single" w:sz="4" w:space="0" w:color="auto"/>
            </w:tcBorders>
            <w:shd w:val="clear" w:color="auto" w:fill="auto"/>
            <w:vAlign w:val="center"/>
            <w:hideMark/>
          </w:tcPr>
          <w:p w:rsidR="00C75CDB" w:rsidRPr="00D868A9" w:rsidRDefault="00C75CDB" w:rsidP="00D12C4E">
            <w:pPr>
              <w:spacing w:after="0" w:line="240" w:lineRule="auto"/>
              <w:jc w:val="center"/>
              <w:rPr>
                <w:rFonts w:ascii="Times New Roman" w:eastAsia="Times New Roman" w:hAnsi="Times New Roman"/>
                <w:color w:val="000000"/>
                <w:lang w:eastAsia="ru-RU"/>
              </w:rPr>
            </w:pPr>
            <w:r w:rsidRPr="00D868A9">
              <w:rPr>
                <w:rFonts w:ascii="Times New Roman" w:eastAsia="Times New Roman" w:hAnsi="Times New Roman"/>
                <w:color w:val="000000"/>
                <w:lang w:eastAsia="ru-RU"/>
              </w:rPr>
              <w:t>Настоящая стоимость денежных поступлений (PV)</w:t>
            </w: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C75CDB" w:rsidRPr="00D868A9" w:rsidRDefault="00C75CDB" w:rsidP="00D12C4E">
            <w:pPr>
              <w:spacing w:after="0" w:line="240" w:lineRule="auto"/>
              <w:rPr>
                <w:rFonts w:ascii="Times New Roman" w:eastAsia="Times New Roman" w:hAnsi="Times New Roman"/>
                <w:color w:val="000000"/>
                <w:lang w:eastAsia="ru-RU"/>
              </w:rPr>
            </w:pPr>
          </w:p>
        </w:tc>
      </w:tr>
      <w:tr w:rsidR="00C75CDB" w:rsidRPr="00D868A9" w:rsidTr="00D12C4E">
        <w:trPr>
          <w:trHeight w:val="300"/>
        </w:trPr>
        <w:tc>
          <w:tcPr>
            <w:tcW w:w="1319" w:type="dxa"/>
            <w:tcBorders>
              <w:top w:val="nil"/>
              <w:left w:val="single" w:sz="4" w:space="0" w:color="auto"/>
              <w:bottom w:val="single" w:sz="4" w:space="0" w:color="auto"/>
              <w:right w:val="single" w:sz="4" w:space="0" w:color="auto"/>
            </w:tcBorders>
            <w:shd w:val="clear" w:color="auto" w:fill="auto"/>
            <w:hideMark/>
          </w:tcPr>
          <w:p w:rsidR="00C75CDB" w:rsidRPr="00D868A9" w:rsidRDefault="00C75CDB" w:rsidP="00D12C4E">
            <w:pPr>
              <w:spacing w:after="0" w:line="240" w:lineRule="auto"/>
              <w:jc w:val="both"/>
              <w:rPr>
                <w:rFonts w:ascii="Times New Roman" w:eastAsia="Times New Roman" w:hAnsi="Times New Roman"/>
                <w:color w:val="000000"/>
                <w:lang w:eastAsia="ru-RU"/>
              </w:rPr>
            </w:pPr>
            <w:r w:rsidRPr="00D868A9">
              <w:rPr>
                <w:rFonts w:ascii="Times New Roman" w:eastAsia="Times New Roman" w:hAnsi="Times New Roman"/>
                <w:color w:val="000000"/>
                <w:lang w:eastAsia="ru-RU"/>
              </w:rPr>
              <w:t>1</w:t>
            </w:r>
          </w:p>
        </w:tc>
        <w:tc>
          <w:tcPr>
            <w:tcW w:w="1932" w:type="dxa"/>
            <w:tcBorders>
              <w:top w:val="nil"/>
              <w:left w:val="nil"/>
              <w:bottom w:val="single" w:sz="4" w:space="0" w:color="auto"/>
              <w:right w:val="single" w:sz="4" w:space="0" w:color="auto"/>
            </w:tcBorders>
            <w:shd w:val="clear" w:color="auto" w:fill="auto"/>
            <w:hideMark/>
          </w:tcPr>
          <w:p w:rsidR="00C75CDB" w:rsidRPr="00D02590" w:rsidRDefault="00C75CDB" w:rsidP="00D12C4E">
            <w:pPr>
              <w:spacing w:after="0" w:line="240" w:lineRule="auto"/>
              <w:jc w:val="center"/>
              <w:rPr>
                <w:rFonts w:ascii="Times New Roman" w:eastAsia="Times New Roman" w:hAnsi="Times New Roman"/>
                <w:color w:val="000000"/>
                <w:lang w:eastAsia="ru-RU"/>
              </w:rPr>
            </w:pPr>
            <w:r w:rsidRPr="00D02590">
              <w:rPr>
                <w:rFonts w:ascii="Times New Roman" w:eastAsia="Times New Roman" w:hAnsi="Times New Roman"/>
                <w:color w:val="000000"/>
                <w:lang w:eastAsia="ru-RU"/>
              </w:rPr>
              <w:t>294,00</w:t>
            </w:r>
          </w:p>
        </w:tc>
        <w:tc>
          <w:tcPr>
            <w:tcW w:w="2053" w:type="dxa"/>
            <w:tcBorders>
              <w:top w:val="nil"/>
              <w:left w:val="nil"/>
              <w:bottom w:val="single" w:sz="4" w:space="0" w:color="auto"/>
              <w:right w:val="single" w:sz="4" w:space="0" w:color="auto"/>
            </w:tcBorders>
            <w:shd w:val="clear" w:color="auto" w:fill="auto"/>
            <w:noWrap/>
            <w:vAlign w:val="bottom"/>
            <w:hideMark/>
          </w:tcPr>
          <w:p w:rsidR="00C75CDB" w:rsidRPr="00D02590" w:rsidRDefault="00C75CDB" w:rsidP="00D12C4E">
            <w:pPr>
              <w:spacing w:after="0" w:line="240" w:lineRule="auto"/>
              <w:jc w:val="center"/>
              <w:rPr>
                <w:rFonts w:ascii="Times New Roman" w:eastAsia="Times New Roman" w:hAnsi="Times New Roman"/>
                <w:color w:val="000000"/>
                <w:lang w:eastAsia="ru-RU"/>
              </w:rPr>
            </w:pPr>
            <w:r w:rsidRPr="00D02590">
              <w:rPr>
                <w:rFonts w:ascii="Times New Roman" w:eastAsia="Times New Roman" w:hAnsi="Times New Roman"/>
                <w:color w:val="000000"/>
                <w:lang w:eastAsia="ru-RU"/>
              </w:rPr>
              <w:t>0,8696</w:t>
            </w:r>
          </w:p>
        </w:tc>
        <w:tc>
          <w:tcPr>
            <w:tcW w:w="1426" w:type="dxa"/>
            <w:tcBorders>
              <w:top w:val="nil"/>
              <w:left w:val="nil"/>
              <w:bottom w:val="single" w:sz="4" w:space="0" w:color="auto"/>
              <w:right w:val="single" w:sz="4" w:space="0" w:color="auto"/>
            </w:tcBorders>
            <w:shd w:val="clear" w:color="auto" w:fill="auto"/>
            <w:hideMark/>
          </w:tcPr>
          <w:p w:rsidR="00C75CDB" w:rsidRPr="00D02590" w:rsidRDefault="00C75CDB" w:rsidP="00D12C4E">
            <w:pPr>
              <w:spacing w:after="0" w:line="240" w:lineRule="auto"/>
              <w:jc w:val="center"/>
              <w:rPr>
                <w:rFonts w:ascii="Times New Roman" w:eastAsia="Times New Roman" w:hAnsi="Times New Roman"/>
                <w:color w:val="000000"/>
                <w:lang w:eastAsia="ru-RU"/>
              </w:rPr>
            </w:pPr>
            <w:r w:rsidRPr="00D02590">
              <w:rPr>
                <w:rFonts w:ascii="Times New Roman" w:eastAsia="Times New Roman" w:hAnsi="Times New Roman"/>
                <w:color w:val="000000"/>
                <w:lang w:eastAsia="ru-RU"/>
              </w:rPr>
              <w:t>255,65</w:t>
            </w:r>
          </w:p>
        </w:tc>
        <w:tc>
          <w:tcPr>
            <w:tcW w:w="1570" w:type="dxa"/>
            <w:tcBorders>
              <w:top w:val="nil"/>
              <w:left w:val="nil"/>
              <w:bottom w:val="single" w:sz="4" w:space="0" w:color="auto"/>
              <w:right w:val="single" w:sz="4" w:space="0" w:color="auto"/>
            </w:tcBorders>
            <w:shd w:val="clear" w:color="auto" w:fill="auto"/>
            <w:hideMark/>
          </w:tcPr>
          <w:p w:rsidR="00C75CDB" w:rsidRPr="00D02590" w:rsidRDefault="00C75CDB" w:rsidP="00D12C4E">
            <w:pPr>
              <w:spacing w:after="0" w:line="240" w:lineRule="auto"/>
              <w:jc w:val="center"/>
              <w:rPr>
                <w:rFonts w:ascii="Times New Roman" w:eastAsia="Times New Roman" w:hAnsi="Times New Roman"/>
                <w:color w:val="000000"/>
                <w:lang w:eastAsia="ru-RU"/>
              </w:rPr>
            </w:pPr>
            <w:r w:rsidRPr="00D02590">
              <w:rPr>
                <w:rFonts w:ascii="Times New Roman" w:eastAsia="Times New Roman" w:hAnsi="Times New Roman"/>
                <w:color w:val="000000"/>
                <w:lang w:eastAsia="ru-RU"/>
              </w:rPr>
              <w:t>255,65</w:t>
            </w:r>
          </w:p>
        </w:tc>
      </w:tr>
      <w:tr w:rsidR="00C75CDB" w:rsidRPr="00D868A9" w:rsidTr="00D12C4E">
        <w:trPr>
          <w:trHeight w:val="300"/>
        </w:trPr>
        <w:tc>
          <w:tcPr>
            <w:tcW w:w="1319" w:type="dxa"/>
            <w:tcBorders>
              <w:top w:val="nil"/>
              <w:left w:val="single" w:sz="4" w:space="0" w:color="auto"/>
              <w:bottom w:val="single" w:sz="4" w:space="0" w:color="auto"/>
              <w:right w:val="single" w:sz="4" w:space="0" w:color="auto"/>
            </w:tcBorders>
            <w:shd w:val="clear" w:color="auto" w:fill="auto"/>
            <w:hideMark/>
          </w:tcPr>
          <w:p w:rsidR="00C75CDB" w:rsidRPr="00D868A9" w:rsidRDefault="00C75CDB" w:rsidP="00D12C4E">
            <w:pPr>
              <w:spacing w:after="0" w:line="240" w:lineRule="auto"/>
              <w:jc w:val="both"/>
              <w:rPr>
                <w:rFonts w:ascii="Times New Roman" w:eastAsia="Times New Roman" w:hAnsi="Times New Roman"/>
                <w:color w:val="000000"/>
                <w:lang w:eastAsia="ru-RU"/>
              </w:rPr>
            </w:pPr>
            <w:r w:rsidRPr="00D868A9">
              <w:rPr>
                <w:rFonts w:ascii="Times New Roman" w:eastAsia="Times New Roman" w:hAnsi="Times New Roman"/>
                <w:color w:val="000000"/>
                <w:lang w:eastAsia="ru-RU"/>
              </w:rPr>
              <w:t>2</w:t>
            </w:r>
          </w:p>
        </w:tc>
        <w:tc>
          <w:tcPr>
            <w:tcW w:w="1932" w:type="dxa"/>
            <w:tcBorders>
              <w:top w:val="nil"/>
              <w:left w:val="nil"/>
              <w:bottom w:val="single" w:sz="4" w:space="0" w:color="auto"/>
              <w:right w:val="single" w:sz="4" w:space="0" w:color="auto"/>
            </w:tcBorders>
            <w:shd w:val="clear" w:color="auto" w:fill="auto"/>
            <w:hideMark/>
          </w:tcPr>
          <w:p w:rsidR="00C75CDB" w:rsidRPr="00D02590" w:rsidRDefault="00C75CDB" w:rsidP="00D12C4E">
            <w:pPr>
              <w:spacing w:after="0" w:line="240" w:lineRule="auto"/>
              <w:jc w:val="center"/>
              <w:rPr>
                <w:rFonts w:ascii="Times New Roman" w:eastAsia="Times New Roman" w:hAnsi="Times New Roman"/>
                <w:color w:val="000000"/>
                <w:lang w:eastAsia="ru-RU"/>
              </w:rPr>
            </w:pPr>
            <w:r w:rsidRPr="00D02590">
              <w:rPr>
                <w:rFonts w:ascii="Times New Roman" w:eastAsia="Times New Roman" w:hAnsi="Times New Roman"/>
                <w:color w:val="000000"/>
                <w:lang w:eastAsia="ru-RU"/>
              </w:rPr>
              <w:t>610,00</w:t>
            </w:r>
          </w:p>
        </w:tc>
        <w:tc>
          <w:tcPr>
            <w:tcW w:w="2053" w:type="dxa"/>
            <w:tcBorders>
              <w:top w:val="nil"/>
              <w:left w:val="nil"/>
              <w:bottom w:val="single" w:sz="4" w:space="0" w:color="auto"/>
              <w:right w:val="single" w:sz="4" w:space="0" w:color="auto"/>
            </w:tcBorders>
            <w:shd w:val="clear" w:color="auto" w:fill="auto"/>
            <w:noWrap/>
            <w:vAlign w:val="bottom"/>
            <w:hideMark/>
          </w:tcPr>
          <w:p w:rsidR="00C75CDB" w:rsidRPr="00D02590" w:rsidRDefault="00C75CDB" w:rsidP="00D12C4E">
            <w:pPr>
              <w:spacing w:after="0" w:line="240" w:lineRule="auto"/>
              <w:jc w:val="center"/>
              <w:rPr>
                <w:rFonts w:ascii="Times New Roman" w:eastAsia="Times New Roman" w:hAnsi="Times New Roman"/>
                <w:color w:val="000000"/>
                <w:lang w:eastAsia="ru-RU"/>
              </w:rPr>
            </w:pPr>
            <w:r w:rsidRPr="00D02590">
              <w:rPr>
                <w:rFonts w:ascii="Times New Roman" w:eastAsia="Times New Roman" w:hAnsi="Times New Roman"/>
                <w:color w:val="000000"/>
                <w:lang w:eastAsia="ru-RU"/>
              </w:rPr>
              <w:t>0,7561</w:t>
            </w:r>
          </w:p>
        </w:tc>
        <w:tc>
          <w:tcPr>
            <w:tcW w:w="1426" w:type="dxa"/>
            <w:tcBorders>
              <w:top w:val="nil"/>
              <w:left w:val="nil"/>
              <w:bottom w:val="single" w:sz="4" w:space="0" w:color="auto"/>
              <w:right w:val="single" w:sz="4" w:space="0" w:color="auto"/>
            </w:tcBorders>
            <w:shd w:val="clear" w:color="auto" w:fill="auto"/>
            <w:hideMark/>
          </w:tcPr>
          <w:p w:rsidR="00C75CDB" w:rsidRPr="00D02590" w:rsidRDefault="00C75CDB" w:rsidP="00D12C4E">
            <w:pPr>
              <w:spacing w:after="0" w:line="240" w:lineRule="auto"/>
              <w:jc w:val="center"/>
              <w:rPr>
                <w:rFonts w:ascii="Times New Roman" w:eastAsia="Times New Roman" w:hAnsi="Times New Roman"/>
                <w:color w:val="000000"/>
                <w:lang w:eastAsia="ru-RU"/>
              </w:rPr>
            </w:pPr>
            <w:r w:rsidRPr="00D02590">
              <w:rPr>
                <w:rFonts w:ascii="Times New Roman" w:eastAsia="Times New Roman" w:hAnsi="Times New Roman"/>
                <w:color w:val="000000"/>
                <w:lang w:eastAsia="ru-RU"/>
              </w:rPr>
              <w:t>461,25</w:t>
            </w:r>
          </w:p>
        </w:tc>
        <w:tc>
          <w:tcPr>
            <w:tcW w:w="1570" w:type="dxa"/>
            <w:tcBorders>
              <w:top w:val="nil"/>
              <w:left w:val="nil"/>
              <w:bottom w:val="single" w:sz="4" w:space="0" w:color="auto"/>
              <w:right w:val="single" w:sz="4" w:space="0" w:color="auto"/>
            </w:tcBorders>
            <w:shd w:val="clear" w:color="auto" w:fill="auto"/>
            <w:hideMark/>
          </w:tcPr>
          <w:p w:rsidR="00C75CDB" w:rsidRPr="00D02590" w:rsidRDefault="00C75CDB" w:rsidP="00D12C4E">
            <w:pPr>
              <w:spacing w:after="0" w:line="240" w:lineRule="auto"/>
              <w:jc w:val="center"/>
              <w:rPr>
                <w:rFonts w:ascii="Times New Roman" w:eastAsia="Times New Roman" w:hAnsi="Times New Roman"/>
                <w:color w:val="000000"/>
                <w:lang w:eastAsia="ru-RU"/>
              </w:rPr>
            </w:pPr>
            <w:r w:rsidRPr="00D02590">
              <w:rPr>
                <w:rFonts w:ascii="Times New Roman" w:eastAsia="Times New Roman" w:hAnsi="Times New Roman"/>
                <w:color w:val="000000"/>
                <w:lang w:eastAsia="ru-RU"/>
              </w:rPr>
              <w:t>716,90</w:t>
            </w:r>
          </w:p>
        </w:tc>
      </w:tr>
      <w:tr w:rsidR="00C75CDB" w:rsidRPr="00D868A9" w:rsidTr="00D12C4E">
        <w:trPr>
          <w:trHeight w:val="300"/>
        </w:trPr>
        <w:tc>
          <w:tcPr>
            <w:tcW w:w="1319" w:type="dxa"/>
            <w:tcBorders>
              <w:top w:val="nil"/>
              <w:left w:val="single" w:sz="4" w:space="0" w:color="auto"/>
              <w:bottom w:val="single" w:sz="4" w:space="0" w:color="auto"/>
              <w:right w:val="single" w:sz="4" w:space="0" w:color="auto"/>
            </w:tcBorders>
            <w:shd w:val="clear" w:color="auto" w:fill="auto"/>
            <w:hideMark/>
          </w:tcPr>
          <w:p w:rsidR="00C75CDB" w:rsidRPr="00D868A9" w:rsidRDefault="00C75CDB" w:rsidP="00D12C4E">
            <w:pPr>
              <w:spacing w:after="0" w:line="240" w:lineRule="auto"/>
              <w:jc w:val="both"/>
              <w:rPr>
                <w:rFonts w:ascii="Times New Roman" w:eastAsia="Times New Roman" w:hAnsi="Times New Roman"/>
                <w:color w:val="000000"/>
                <w:lang w:eastAsia="ru-RU"/>
              </w:rPr>
            </w:pPr>
            <w:r w:rsidRPr="00D868A9">
              <w:rPr>
                <w:rFonts w:ascii="Times New Roman" w:eastAsia="Times New Roman" w:hAnsi="Times New Roman"/>
                <w:color w:val="000000"/>
                <w:lang w:eastAsia="ru-RU"/>
              </w:rPr>
              <w:t>3</w:t>
            </w:r>
          </w:p>
        </w:tc>
        <w:tc>
          <w:tcPr>
            <w:tcW w:w="1932" w:type="dxa"/>
            <w:tcBorders>
              <w:top w:val="nil"/>
              <w:left w:val="nil"/>
              <w:bottom w:val="single" w:sz="4" w:space="0" w:color="auto"/>
              <w:right w:val="single" w:sz="4" w:space="0" w:color="auto"/>
            </w:tcBorders>
            <w:shd w:val="clear" w:color="auto" w:fill="auto"/>
            <w:hideMark/>
          </w:tcPr>
          <w:p w:rsidR="00C75CDB" w:rsidRPr="00D02590" w:rsidRDefault="00C75CDB" w:rsidP="00D12C4E">
            <w:pPr>
              <w:spacing w:after="0" w:line="240" w:lineRule="auto"/>
              <w:jc w:val="center"/>
              <w:rPr>
                <w:rFonts w:ascii="Times New Roman" w:eastAsia="Times New Roman" w:hAnsi="Times New Roman"/>
                <w:color w:val="000000"/>
                <w:lang w:eastAsia="ru-RU"/>
              </w:rPr>
            </w:pPr>
            <w:r w:rsidRPr="00D02590">
              <w:rPr>
                <w:rFonts w:ascii="Times New Roman" w:eastAsia="Times New Roman" w:hAnsi="Times New Roman"/>
                <w:color w:val="000000"/>
                <w:lang w:eastAsia="ru-RU"/>
              </w:rPr>
              <w:t>844,50</w:t>
            </w:r>
          </w:p>
        </w:tc>
        <w:tc>
          <w:tcPr>
            <w:tcW w:w="2053" w:type="dxa"/>
            <w:tcBorders>
              <w:top w:val="nil"/>
              <w:left w:val="nil"/>
              <w:bottom w:val="single" w:sz="4" w:space="0" w:color="auto"/>
              <w:right w:val="single" w:sz="4" w:space="0" w:color="auto"/>
            </w:tcBorders>
            <w:shd w:val="clear" w:color="auto" w:fill="auto"/>
            <w:noWrap/>
            <w:vAlign w:val="bottom"/>
            <w:hideMark/>
          </w:tcPr>
          <w:p w:rsidR="00C75CDB" w:rsidRPr="00D02590" w:rsidRDefault="00C75CDB" w:rsidP="00D12C4E">
            <w:pPr>
              <w:spacing w:after="0" w:line="240" w:lineRule="auto"/>
              <w:jc w:val="center"/>
              <w:rPr>
                <w:rFonts w:ascii="Times New Roman" w:eastAsia="Times New Roman" w:hAnsi="Times New Roman"/>
                <w:color w:val="000000"/>
                <w:lang w:eastAsia="ru-RU"/>
              </w:rPr>
            </w:pPr>
            <w:r w:rsidRPr="00D02590">
              <w:rPr>
                <w:rFonts w:ascii="Times New Roman" w:eastAsia="Times New Roman" w:hAnsi="Times New Roman"/>
                <w:color w:val="000000"/>
                <w:lang w:eastAsia="ru-RU"/>
              </w:rPr>
              <w:t>0,6575</w:t>
            </w:r>
          </w:p>
        </w:tc>
        <w:tc>
          <w:tcPr>
            <w:tcW w:w="1426" w:type="dxa"/>
            <w:tcBorders>
              <w:top w:val="nil"/>
              <w:left w:val="nil"/>
              <w:bottom w:val="single" w:sz="4" w:space="0" w:color="auto"/>
              <w:right w:val="single" w:sz="4" w:space="0" w:color="auto"/>
            </w:tcBorders>
            <w:shd w:val="clear" w:color="auto" w:fill="auto"/>
            <w:hideMark/>
          </w:tcPr>
          <w:p w:rsidR="00C75CDB" w:rsidRPr="00D02590" w:rsidRDefault="00C75CDB" w:rsidP="00D12C4E">
            <w:pPr>
              <w:spacing w:after="0" w:line="240" w:lineRule="auto"/>
              <w:jc w:val="center"/>
              <w:rPr>
                <w:rFonts w:ascii="Times New Roman" w:eastAsia="Times New Roman" w:hAnsi="Times New Roman"/>
                <w:color w:val="000000"/>
                <w:lang w:eastAsia="ru-RU"/>
              </w:rPr>
            </w:pPr>
            <w:r w:rsidRPr="00D02590">
              <w:rPr>
                <w:rFonts w:ascii="Times New Roman" w:eastAsia="Times New Roman" w:hAnsi="Times New Roman"/>
                <w:color w:val="000000"/>
                <w:lang w:eastAsia="ru-RU"/>
              </w:rPr>
              <w:t>555,27</w:t>
            </w:r>
          </w:p>
        </w:tc>
        <w:tc>
          <w:tcPr>
            <w:tcW w:w="1570" w:type="dxa"/>
            <w:tcBorders>
              <w:top w:val="nil"/>
              <w:left w:val="nil"/>
              <w:bottom w:val="single" w:sz="4" w:space="0" w:color="auto"/>
              <w:right w:val="single" w:sz="4" w:space="0" w:color="auto"/>
            </w:tcBorders>
            <w:shd w:val="clear" w:color="auto" w:fill="auto"/>
            <w:hideMark/>
          </w:tcPr>
          <w:p w:rsidR="00C75CDB" w:rsidRPr="00D02590" w:rsidRDefault="00C75CDB" w:rsidP="00D12C4E">
            <w:pPr>
              <w:spacing w:after="0" w:line="240" w:lineRule="auto"/>
              <w:jc w:val="center"/>
              <w:rPr>
                <w:rFonts w:ascii="Times New Roman" w:eastAsia="Times New Roman" w:hAnsi="Times New Roman"/>
                <w:color w:val="000000"/>
                <w:lang w:eastAsia="ru-RU"/>
              </w:rPr>
            </w:pPr>
            <w:r w:rsidRPr="00D02590">
              <w:rPr>
                <w:rFonts w:ascii="Times New Roman" w:eastAsia="Times New Roman" w:hAnsi="Times New Roman"/>
                <w:color w:val="000000"/>
                <w:lang w:eastAsia="ru-RU"/>
              </w:rPr>
              <w:t>1 272,17</w:t>
            </w:r>
          </w:p>
        </w:tc>
      </w:tr>
      <w:tr w:rsidR="00C75CDB" w:rsidRPr="00D02590" w:rsidTr="00D12C4E">
        <w:trPr>
          <w:trHeight w:val="285"/>
        </w:trPr>
        <w:tc>
          <w:tcPr>
            <w:tcW w:w="1319" w:type="dxa"/>
            <w:tcBorders>
              <w:top w:val="nil"/>
              <w:left w:val="single" w:sz="4" w:space="0" w:color="auto"/>
              <w:bottom w:val="single" w:sz="4" w:space="0" w:color="auto"/>
              <w:right w:val="single" w:sz="4" w:space="0" w:color="auto"/>
            </w:tcBorders>
            <w:shd w:val="clear" w:color="auto" w:fill="auto"/>
            <w:hideMark/>
          </w:tcPr>
          <w:p w:rsidR="00C75CDB" w:rsidRPr="00D02590" w:rsidRDefault="00C75CDB" w:rsidP="00D12C4E">
            <w:pPr>
              <w:spacing w:after="0" w:line="240" w:lineRule="auto"/>
              <w:jc w:val="both"/>
              <w:rPr>
                <w:rFonts w:ascii="Times New Roman" w:eastAsia="Times New Roman" w:hAnsi="Times New Roman"/>
                <w:b/>
                <w:bCs/>
                <w:color w:val="000000"/>
                <w:lang w:eastAsia="ru-RU"/>
              </w:rPr>
            </w:pPr>
            <w:r w:rsidRPr="00D02590">
              <w:rPr>
                <w:rFonts w:ascii="Times New Roman" w:eastAsia="Times New Roman" w:hAnsi="Times New Roman"/>
                <w:b/>
                <w:bCs/>
                <w:color w:val="000000"/>
                <w:lang w:eastAsia="ru-RU"/>
              </w:rPr>
              <w:t>Итого</w:t>
            </w:r>
          </w:p>
        </w:tc>
        <w:tc>
          <w:tcPr>
            <w:tcW w:w="1932" w:type="dxa"/>
            <w:tcBorders>
              <w:top w:val="nil"/>
              <w:left w:val="nil"/>
              <w:bottom w:val="single" w:sz="4" w:space="0" w:color="auto"/>
              <w:right w:val="single" w:sz="4" w:space="0" w:color="auto"/>
            </w:tcBorders>
            <w:shd w:val="clear" w:color="auto" w:fill="auto"/>
            <w:hideMark/>
          </w:tcPr>
          <w:p w:rsidR="00C75CDB" w:rsidRPr="00D02590" w:rsidRDefault="00C75CDB" w:rsidP="00D12C4E">
            <w:pPr>
              <w:spacing w:after="0" w:line="240" w:lineRule="auto"/>
              <w:jc w:val="center"/>
              <w:rPr>
                <w:rFonts w:ascii="Times New Roman" w:eastAsia="Times New Roman" w:hAnsi="Times New Roman"/>
                <w:b/>
                <w:color w:val="000000"/>
                <w:lang w:eastAsia="ru-RU"/>
              </w:rPr>
            </w:pPr>
            <w:r w:rsidRPr="00D02590">
              <w:rPr>
                <w:rFonts w:ascii="Times New Roman" w:eastAsia="Times New Roman" w:hAnsi="Times New Roman"/>
                <w:b/>
                <w:color w:val="000000"/>
                <w:lang w:eastAsia="ru-RU"/>
              </w:rPr>
              <w:t>1 748,50</w:t>
            </w:r>
          </w:p>
        </w:tc>
        <w:tc>
          <w:tcPr>
            <w:tcW w:w="2053" w:type="dxa"/>
            <w:tcBorders>
              <w:top w:val="nil"/>
              <w:left w:val="nil"/>
              <w:bottom w:val="single" w:sz="4" w:space="0" w:color="auto"/>
              <w:right w:val="single" w:sz="4" w:space="0" w:color="auto"/>
            </w:tcBorders>
            <w:shd w:val="clear" w:color="auto" w:fill="auto"/>
            <w:hideMark/>
          </w:tcPr>
          <w:p w:rsidR="00C75CDB" w:rsidRPr="00D02590" w:rsidRDefault="00C75CDB" w:rsidP="00D12C4E">
            <w:pPr>
              <w:spacing w:after="0" w:line="240" w:lineRule="auto"/>
              <w:jc w:val="center"/>
              <w:rPr>
                <w:rFonts w:ascii="Times New Roman" w:eastAsia="Times New Roman" w:hAnsi="Times New Roman"/>
                <w:b/>
                <w:color w:val="000000"/>
                <w:lang w:eastAsia="ru-RU"/>
              </w:rPr>
            </w:pPr>
            <w:r w:rsidRPr="00D02590">
              <w:rPr>
                <w:rFonts w:ascii="Times New Roman" w:eastAsia="Times New Roman" w:hAnsi="Times New Roman"/>
                <w:b/>
                <w:color w:val="000000"/>
                <w:lang w:eastAsia="ru-RU"/>
              </w:rPr>
              <w:t>х</w:t>
            </w:r>
          </w:p>
        </w:tc>
        <w:tc>
          <w:tcPr>
            <w:tcW w:w="1426" w:type="dxa"/>
            <w:tcBorders>
              <w:top w:val="nil"/>
              <w:left w:val="nil"/>
              <w:bottom w:val="single" w:sz="4" w:space="0" w:color="auto"/>
              <w:right w:val="single" w:sz="4" w:space="0" w:color="auto"/>
            </w:tcBorders>
            <w:shd w:val="clear" w:color="auto" w:fill="auto"/>
            <w:hideMark/>
          </w:tcPr>
          <w:p w:rsidR="00C75CDB" w:rsidRPr="00D02590" w:rsidRDefault="00C75CDB" w:rsidP="00D12C4E">
            <w:pPr>
              <w:spacing w:after="0" w:line="240" w:lineRule="auto"/>
              <w:jc w:val="center"/>
              <w:rPr>
                <w:rFonts w:ascii="Times New Roman" w:eastAsia="Times New Roman" w:hAnsi="Times New Roman"/>
                <w:b/>
                <w:color w:val="000000"/>
                <w:lang w:eastAsia="ru-RU"/>
              </w:rPr>
            </w:pPr>
            <w:r w:rsidRPr="00D02590">
              <w:rPr>
                <w:rFonts w:ascii="Times New Roman" w:eastAsia="Times New Roman" w:hAnsi="Times New Roman"/>
                <w:b/>
                <w:color w:val="000000"/>
                <w:lang w:eastAsia="ru-RU"/>
              </w:rPr>
              <w:t>1 272,17</w:t>
            </w:r>
          </w:p>
        </w:tc>
        <w:tc>
          <w:tcPr>
            <w:tcW w:w="1570" w:type="dxa"/>
            <w:tcBorders>
              <w:top w:val="nil"/>
              <w:left w:val="nil"/>
              <w:bottom w:val="single" w:sz="4" w:space="0" w:color="auto"/>
              <w:right w:val="single" w:sz="4" w:space="0" w:color="auto"/>
            </w:tcBorders>
            <w:shd w:val="clear" w:color="auto" w:fill="auto"/>
            <w:hideMark/>
          </w:tcPr>
          <w:p w:rsidR="00C75CDB" w:rsidRPr="00D02590" w:rsidRDefault="00C75CDB" w:rsidP="00D12C4E">
            <w:pPr>
              <w:spacing w:after="0" w:line="240" w:lineRule="auto"/>
              <w:jc w:val="center"/>
              <w:rPr>
                <w:rFonts w:ascii="Times New Roman" w:eastAsia="Times New Roman" w:hAnsi="Times New Roman"/>
                <w:b/>
                <w:color w:val="000000"/>
                <w:lang w:eastAsia="ru-RU"/>
              </w:rPr>
            </w:pPr>
            <w:r w:rsidRPr="00D02590">
              <w:rPr>
                <w:rFonts w:ascii="Times New Roman" w:eastAsia="Times New Roman" w:hAnsi="Times New Roman"/>
                <w:b/>
                <w:color w:val="000000"/>
                <w:lang w:eastAsia="ru-RU"/>
              </w:rPr>
              <w:t>1 272,17</w:t>
            </w:r>
          </w:p>
        </w:tc>
      </w:tr>
    </w:tbl>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spacing w:val="-6"/>
          <w:sz w:val="24"/>
          <w:szCs w:val="24"/>
        </w:rPr>
      </w:pPr>
      <w:r w:rsidRPr="009651D7">
        <w:rPr>
          <w:rFonts w:ascii="Times New Roman" w:hAnsi="Times New Roman"/>
          <w:b/>
          <w:color w:val="000000"/>
        </w:rPr>
        <w:t>Срок окупаемости (</w:t>
      </w:r>
      <w:r w:rsidRPr="009651D7">
        <w:rPr>
          <w:rFonts w:ascii="Times New Roman" w:hAnsi="Times New Roman"/>
          <w:b/>
          <w:color w:val="000000"/>
          <w:lang w:val="en-US"/>
        </w:rPr>
        <w:t>PB</w:t>
      </w:r>
      <w:r w:rsidRPr="009651D7">
        <w:rPr>
          <w:rFonts w:ascii="Times New Roman" w:hAnsi="Times New Roman"/>
          <w:b/>
          <w:color w:val="000000"/>
        </w:rPr>
        <w:t xml:space="preserve"> – </w:t>
      </w:r>
      <w:r w:rsidRPr="009651D7">
        <w:rPr>
          <w:rFonts w:ascii="Times New Roman" w:hAnsi="Times New Roman"/>
          <w:b/>
          <w:color w:val="000000"/>
          <w:lang w:val="en-US"/>
        </w:rPr>
        <w:t>Payback</w:t>
      </w:r>
      <w:r w:rsidRPr="009651D7">
        <w:rPr>
          <w:rFonts w:ascii="Times New Roman" w:hAnsi="Times New Roman"/>
          <w:b/>
          <w:color w:val="000000"/>
        </w:rPr>
        <w:t xml:space="preserve"> </w:t>
      </w:r>
      <w:r w:rsidRPr="009651D7">
        <w:rPr>
          <w:rFonts w:ascii="Times New Roman" w:hAnsi="Times New Roman"/>
          <w:b/>
          <w:color w:val="000000"/>
          <w:lang w:val="en-US"/>
        </w:rPr>
        <w:t>period</w:t>
      </w:r>
      <w:r w:rsidRPr="009651D7">
        <w:rPr>
          <w:rFonts w:ascii="Times New Roman" w:hAnsi="Times New Roman"/>
          <w:b/>
          <w:color w:val="000000"/>
        </w:rPr>
        <w:t xml:space="preserve">) </w:t>
      </w:r>
      <w:r>
        <w:rPr>
          <w:rFonts w:ascii="Times New Roman" w:hAnsi="Times New Roman"/>
          <w:color w:val="000000"/>
        </w:rPr>
        <w:t xml:space="preserve">– </w:t>
      </w:r>
      <w:r w:rsidRPr="009B6645">
        <w:rPr>
          <w:rFonts w:ascii="Times New Roman" w:hAnsi="Times New Roman"/>
          <w:spacing w:val="-6"/>
          <w:sz w:val="24"/>
          <w:szCs w:val="24"/>
        </w:rPr>
        <w:t>это ожидаемый период возмещения первоначальных вложений из чистых поступлений (где чистые поступления представляют собой денежные поступления за вычетом расходов). Таким образом, определяется время, за которое поступления от оперативной деятельности предприятия (cash inflows) покроют затраты на инвестиции.</w:t>
      </w:r>
      <w:r>
        <w:rPr>
          <w:rFonts w:ascii="Times New Roman" w:hAnsi="Times New Roman"/>
          <w:spacing w:val="-6"/>
          <w:sz w:val="24"/>
          <w:szCs w:val="24"/>
        </w:rPr>
        <w:t xml:space="preserve"> </w:t>
      </w:r>
      <w:r w:rsidRPr="00773A67">
        <w:rPr>
          <w:rFonts w:ascii="Times New Roman" w:hAnsi="Times New Roman"/>
          <w:spacing w:val="-6"/>
          <w:sz w:val="24"/>
          <w:szCs w:val="24"/>
        </w:rPr>
        <w:t xml:space="preserve">Простой срок окупаемости проекта – не учитывает стоимость денег во времени </w:t>
      </w:r>
      <w:r w:rsidRPr="00773A67">
        <w:rPr>
          <w:rFonts w:ascii="Times New Roman" w:hAnsi="Times New Roman"/>
          <w:spacing w:val="-6"/>
          <w:sz w:val="24"/>
          <w:szCs w:val="24"/>
        </w:rPr>
        <w:lastRenderedPageBreak/>
        <w:t>и представляет собой срок простого возврата суммарными чистыми доходами от проекта вложенного капитала.</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sidRPr="00B103B2">
        <w:rPr>
          <w:rFonts w:ascii="Times New Roman" w:hAnsi="Times New Roman"/>
          <w:color w:val="000000"/>
          <w:position w:val="-24"/>
        </w:rPr>
        <w:object w:dxaOrig="999"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2.25pt" o:ole="">
            <v:imagedata r:id="rId4" o:title=""/>
          </v:shape>
          <o:OLEObject Type="Embed" ProgID="Equation.3" ShapeID="_x0000_i1025" DrawAspect="Content" ObjectID="_1414226023" r:id="rId5"/>
        </w:object>
      </w:r>
      <w:r>
        <w:rPr>
          <w:rFonts w:ascii="Times New Roman" w:hAnsi="Times New Roman"/>
          <w:color w:val="000000"/>
        </w:rPr>
        <w:t>,</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Pr>
          <w:rFonts w:ascii="Times New Roman" w:hAnsi="Times New Roman"/>
          <w:color w:val="000000"/>
        </w:rPr>
        <w:t xml:space="preserve">где, </w:t>
      </w:r>
      <w:r>
        <w:rPr>
          <w:rFonts w:ascii="Times New Roman" w:hAnsi="Times New Roman"/>
          <w:color w:val="000000"/>
          <w:lang w:val="en-US"/>
        </w:rPr>
        <w:t>I</w:t>
      </w:r>
      <w:r w:rsidRPr="005C777F">
        <w:rPr>
          <w:rFonts w:ascii="Times New Roman" w:hAnsi="Times New Roman"/>
          <w:color w:val="000000"/>
          <w:vertAlign w:val="subscript"/>
        </w:rPr>
        <w:t>0</w:t>
      </w:r>
      <w:r w:rsidRPr="005C777F">
        <w:rPr>
          <w:rFonts w:ascii="Times New Roman" w:hAnsi="Times New Roman"/>
          <w:color w:val="000000"/>
        </w:rPr>
        <w:t xml:space="preserve"> – </w:t>
      </w:r>
      <w:r>
        <w:rPr>
          <w:rFonts w:ascii="Times New Roman" w:hAnsi="Times New Roman"/>
          <w:color w:val="000000"/>
        </w:rPr>
        <w:t>первоначальные инвестиционные затраты;</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sidRPr="005C777F">
        <w:rPr>
          <w:rFonts w:ascii="Times New Roman" w:hAnsi="Times New Roman"/>
          <w:color w:val="000000"/>
        </w:rPr>
        <w:t>C</w:t>
      </w:r>
      <w:r>
        <w:rPr>
          <w:rFonts w:ascii="Times New Roman" w:hAnsi="Times New Roman"/>
          <w:color w:val="000000"/>
          <w:lang w:val="en-US"/>
        </w:rPr>
        <w:t>F</w:t>
      </w:r>
      <w:r w:rsidRPr="005C777F">
        <w:rPr>
          <w:rFonts w:ascii="Times New Roman" w:hAnsi="Times New Roman"/>
          <w:color w:val="000000"/>
        </w:rPr>
        <w:t xml:space="preserve"> </w:t>
      </w:r>
      <w:r>
        <w:rPr>
          <w:rFonts w:ascii="Times New Roman" w:hAnsi="Times New Roman"/>
          <w:color w:val="000000"/>
        </w:rPr>
        <w:t>– денежный поток.</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Pr>
          <w:rFonts w:ascii="Times New Roman" w:hAnsi="Times New Roman"/>
          <w:color w:val="000000"/>
        </w:rPr>
        <w:t>Из нескольких проектов принимается проект с меньшим значением срока окупаемости. При этом срок жизни проекта должен быть больше срока окупаемости.</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sidRPr="009651D7">
        <w:rPr>
          <w:rFonts w:ascii="Times New Roman" w:hAnsi="Times New Roman"/>
          <w:b/>
          <w:color w:val="000000"/>
        </w:rPr>
        <w:t>Дисконтированный срок окупаемости (</w:t>
      </w:r>
      <w:r w:rsidRPr="009651D7">
        <w:rPr>
          <w:rFonts w:ascii="Times New Roman" w:hAnsi="Times New Roman"/>
          <w:b/>
          <w:color w:val="000000"/>
          <w:lang w:val="en-US"/>
        </w:rPr>
        <w:t>D</w:t>
      </w:r>
      <w:r w:rsidRPr="009651D7">
        <w:rPr>
          <w:rFonts w:ascii="Times New Roman" w:hAnsi="Times New Roman"/>
          <w:b/>
          <w:color w:val="000000"/>
        </w:rPr>
        <w:t>PB – Discounted Payback Period)</w:t>
      </w:r>
      <w:r>
        <w:rPr>
          <w:rFonts w:ascii="Times New Roman" w:hAnsi="Times New Roman"/>
          <w:color w:val="000000"/>
        </w:rPr>
        <w:t xml:space="preserve"> –</w:t>
      </w:r>
      <w:r w:rsidRPr="00773A67">
        <w:rPr>
          <w:rFonts w:ascii="Times New Roman" w:hAnsi="Times New Roman"/>
          <w:color w:val="000000"/>
        </w:rPr>
        <w:t xml:space="preserve"> срок, в расчете на который вложение средств в рассматриваемый проект даст ту же сумму денежных потоков, приведенных по фактору времени (дисконтированных) к настоящему моменту</w:t>
      </w:r>
      <w:r>
        <w:rPr>
          <w:rFonts w:ascii="Times New Roman" w:hAnsi="Times New Roman"/>
          <w:color w:val="000000"/>
        </w:rPr>
        <w:t>.</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sidRPr="00B103B2">
        <w:rPr>
          <w:rFonts w:ascii="Times New Roman" w:hAnsi="Times New Roman"/>
          <w:color w:val="000000"/>
          <w:position w:val="-24"/>
        </w:rPr>
        <w:object w:dxaOrig="1020" w:dyaOrig="639">
          <v:shape id="_x0000_i1026" type="#_x0000_t75" style="width:51pt;height:32.25pt" o:ole="">
            <v:imagedata r:id="rId6" o:title=""/>
          </v:shape>
          <o:OLEObject Type="Embed" ProgID="Equation.3" ShapeID="_x0000_i1026" DrawAspect="Content" ObjectID="_1414226024" r:id="rId7"/>
        </w:object>
      </w:r>
      <w:r>
        <w:rPr>
          <w:rFonts w:ascii="Times New Roman" w:hAnsi="Times New Roman"/>
          <w:color w:val="000000"/>
        </w:rPr>
        <w:t>,</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Pr>
          <w:rFonts w:ascii="Times New Roman" w:hAnsi="Times New Roman"/>
          <w:color w:val="000000"/>
        </w:rPr>
        <w:t xml:space="preserve">где, </w:t>
      </w:r>
      <w:r>
        <w:rPr>
          <w:rFonts w:ascii="Times New Roman" w:hAnsi="Times New Roman"/>
          <w:color w:val="000000"/>
          <w:lang w:val="en-US"/>
        </w:rPr>
        <w:t>I</w:t>
      </w:r>
      <w:r w:rsidRPr="005C777F">
        <w:rPr>
          <w:rFonts w:ascii="Times New Roman" w:hAnsi="Times New Roman"/>
          <w:color w:val="000000"/>
          <w:vertAlign w:val="subscript"/>
        </w:rPr>
        <w:t>0</w:t>
      </w:r>
      <w:r w:rsidRPr="005C777F">
        <w:rPr>
          <w:rFonts w:ascii="Times New Roman" w:hAnsi="Times New Roman"/>
          <w:color w:val="000000"/>
        </w:rPr>
        <w:t xml:space="preserve"> – </w:t>
      </w:r>
      <w:r>
        <w:rPr>
          <w:rFonts w:ascii="Times New Roman" w:hAnsi="Times New Roman"/>
          <w:color w:val="000000"/>
        </w:rPr>
        <w:t>первоначальные инвестиционные затраты;</w:t>
      </w:r>
    </w:p>
    <w:p w:rsidR="00C75CDB" w:rsidRPr="009C0C8C"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Pr>
          <w:rFonts w:ascii="Times New Roman" w:hAnsi="Times New Roman"/>
          <w:color w:val="000000"/>
          <w:lang w:val="en-US"/>
        </w:rPr>
        <w:t>PV</w:t>
      </w:r>
      <w:r w:rsidRPr="005C777F">
        <w:rPr>
          <w:rFonts w:ascii="Times New Roman" w:hAnsi="Times New Roman"/>
          <w:color w:val="000000"/>
        </w:rPr>
        <w:t xml:space="preserve"> </w:t>
      </w:r>
      <w:r>
        <w:rPr>
          <w:rFonts w:ascii="Times New Roman" w:hAnsi="Times New Roman"/>
          <w:color w:val="000000"/>
        </w:rPr>
        <w:t>– текущая стоимость будущих денежных потоков.</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Pr>
          <w:rFonts w:ascii="Times New Roman" w:hAnsi="Times New Roman"/>
          <w:color w:val="000000"/>
        </w:rPr>
        <w:t>Из нескольких проектов принимается проект с меньшим значением дисконтированного срока окупаемости.</w:t>
      </w:r>
      <w:r w:rsidRPr="00B51E88">
        <w:rPr>
          <w:rFonts w:ascii="Times New Roman" w:hAnsi="Times New Roman"/>
          <w:color w:val="000000"/>
        </w:rPr>
        <w:t xml:space="preserve"> </w:t>
      </w:r>
      <w:r>
        <w:rPr>
          <w:rFonts w:ascii="Times New Roman" w:hAnsi="Times New Roman"/>
          <w:color w:val="000000"/>
        </w:rPr>
        <w:t>При этом срок жизни проекта должен быть больше дисконтированного срока окупаемости.</w:t>
      </w:r>
    </w:p>
    <w:p w:rsidR="00C75CDB" w:rsidRPr="00B467BD" w:rsidRDefault="00B467BD"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Pr>
          <w:rFonts w:ascii="Times New Roman" w:hAnsi="Times New Roman"/>
          <w:color w:val="000000"/>
        </w:rPr>
        <w:t>……………</w:t>
      </w:r>
    </w:p>
    <w:p w:rsidR="00C75CDB" w:rsidRDefault="00C75CDB" w:rsidP="00C75CDB">
      <w:pPr>
        <w:shd w:val="clear" w:color="auto" w:fill="FFFFFF"/>
        <w:autoSpaceDE w:val="0"/>
        <w:autoSpaceDN w:val="0"/>
        <w:adjustRightInd w:val="0"/>
        <w:spacing w:line="360" w:lineRule="auto"/>
        <w:ind w:firstLine="706"/>
        <w:jc w:val="center"/>
        <w:rPr>
          <w:rFonts w:ascii="Garamond" w:hAnsi="Garamond"/>
          <w:b/>
          <w:color w:val="000000"/>
        </w:rPr>
      </w:pPr>
    </w:p>
    <w:p w:rsidR="00C75CDB" w:rsidRPr="00B467BD" w:rsidRDefault="00B467BD" w:rsidP="00C75CDB">
      <w:pPr>
        <w:shd w:val="clear" w:color="auto" w:fill="FFFFFF"/>
        <w:autoSpaceDE w:val="0"/>
        <w:autoSpaceDN w:val="0"/>
        <w:adjustRightInd w:val="0"/>
        <w:spacing w:line="360" w:lineRule="auto"/>
        <w:ind w:firstLine="706"/>
        <w:jc w:val="center"/>
        <w:rPr>
          <w:rFonts w:ascii="Garamond" w:hAnsi="Garamond"/>
          <w:b/>
          <w:color w:val="000000"/>
          <w:lang w:val="en-US"/>
        </w:rPr>
      </w:pPr>
      <w:r>
        <w:rPr>
          <w:rFonts w:ascii="Garamond" w:hAnsi="Garamond"/>
          <w:b/>
          <w:color w:val="000000"/>
          <w:highlight w:val="green"/>
        </w:rPr>
        <w:t xml:space="preserve">Задание </w:t>
      </w:r>
      <w:r>
        <w:rPr>
          <w:rFonts w:ascii="Garamond" w:hAnsi="Garamond"/>
          <w:b/>
          <w:color w:val="000000"/>
          <w:lang w:val="en-US"/>
        </w:rPr>
        <w:t>2</w:t>
      </w:r>
    </w:p>
    <w:p w:rsidR="00C75CDB" w:rsidRPr="00B65E64" w:rsidRDefault="00C75CDB" w:rsidP="00C75CDB">
      <w:pPr>
        <w:shd w:val="clear" w:color="auto" w:fill="FFFFFF"/>
        <w:autoSpaceDE w:val="0"/>
        <w:autoSpaceDN w:val="0"/>
        <w:adjustRightInd w:val="0"/>
        <w:spacing w:line="360" w:lineRule="auto"/>
        <w:ind w:firstLine="706"/>
        <w:jc w:val="center"/>
        <w:rPr>
          <w:rFonts w:ascii="Garamond" w:hAnsi="Garamond"/>
          <w:i/>
        </w:rPr>
      </w:pPr>
      <w:r w:rsidRPr="00B65E64">
        <w:rPr>
          <w:rFonts w:ascii="Garamond" w:hAnsi="Garamond"/>
          <w:i/>
          <w:color w:val="000000"/>
        </w:rPr>
        <w:t xml:space="preserve">На основании данных таблицы </w:t>
      </w:r>
      <w:r w:rsidRPr="00B65E64">
        <w:rPr>
          <w:rFonts w:ascii="Garamond" w:hAnsi="Garamond"/>
          <w:i/>
          <w:iCs/>
          <w:color w:val="000000"/>
        </w:rPr>
        <w:t>требуется:</w:t>
      </w:r>
    </w:p>
    <w:p w:rsidR="00C75CDB" w:rsidRPr="00455FD6" w:rsidRDefault="00C75CDB" w:rsidP="00C75CDB">
      <w:pPr>
        <w:shd w:val="clear" w:color="auto" w:fill="FFFFFF"/>
        <w:autoSpaceDE w:val="0"/>
        <w:autoSpaceDN w:val="0"/>
        <w:adjustRightInd w:val="0"/>
        <w:spacing w:line="360" w:lineRule="auto"/>
        <w:ind w:firstLine="706"/>
        <w:jc w:val="both"/>
        <w:rPr>
          <w:rFonts w:ascii="Garamond" w:hAnsi="Garamond"/>
          <w:b/>
        </w:rPr>
      </w:pPr>
      <w:r w:rsidRPr="00B65E64">
        <w:rPr>
          <w:rFonts w:ascii="Garamond" w:hAnsi="Garamond"/>
          <w:color w:val="000000"/>
        </w:rPr>
        <w:t>1.  Провести сравнительный анализ эффективности взаимоисключающих проектов, используя для этих целей показатели чистой текущей стоимости (</w:t>
      </w:r>
      <w:r w:rsidRPr="00B65E64">
        <w:rPr>
          <w:rFonts w:ascii="Garamond" w:hAnsi="Garamond"/>
          <w:color w:val="000000"/>
          <w:lang w:val="en-US"/>
        </w:rPr>
        <w:t>NPV</w:t>
      </w:r>
      <w:r w:rsidRPr="00B65E64">
        <w:rPr>
          <w:rFonts w:ascii="Garamond" w:hAnsi="Garamond"/>
          <w:color w:val="000000"/>
        </w:rPr>
        <w:t>), внутренней нормы рентабельности (</w:t>
      </w:r>
      <w:r w:rsidRPr="00B65E64">
        <w:rPr>
          <w:rFonts w:ascii="Garamond" w:hAnsi="Garamond"/>
          <w:color w:val="000000"/>
          <w:lang w:val="en-US"/>
        </w:rPr>
        <w:t>IRR</w:t>
      </w:r>
      <w:r w:rsidRPr="00B65E64">
        <w:rPr>
          <w:rFonts w:ascii="Garamond" w:hAnsi="Garamond"/>
          <w:color w:val="000000"/>
        </w:rPr>
        <w:t>), индекса рентабельности (</w:t>
      </w:r>
      <w:r w:rsidRPr="00B65E64">
        <w:rPr>
          <w:rFonts w:ascii="Garamond" w:hAnsi="Garamond"/>
          <w:color w:val="000000"/>
          <w:lang w:val="en-US"/>
        </w:rPr>
        <w:t>PI</w:t>
      </w:r>
      <w:r w:rsidRPr="00B65E64">
        <w:rPr>
          <w:rFonts w:ascii="Garamond" w:hAnsi="Garamond"/>
          <w:color w:val="000000"/>
        </w:rPr>
        <w:t xml:space="preserve">). Для всех проектов цена инвестированного капитала равна </w:t>
      </w:r>
      <w:r w:rsidRPr="00455FD6">
        <w:rPr>
          <w:rFonts w:ascii="Garamond" w:hAnsi="Garamond"/>
          <w:b/>
          <w:color w:val="000000"/>
        </w:rPr>
        <w:t>14%.</w:t>
      </w:r>
    </w:p>
    <w:p w:rsidR="00C75CDB" w:rsidRPr="00B65E64" w:rsidRDefault="00C75CDB" w:rsidP="00C75CDB">
      <w:pPr>
        <w:shd w:val="clear" w:color="auto" w:fill="FFFFFF"/>
        <w:autoSpaceDE w:val="0"/>
        <w:autoSpaceDN w:val="0"/>
        <w:adjustRightInd w:val="0"/>
        <w:spacing w:line="360" w:lineRule="auto"/>
        <w:ind w:firstLine="706"/>
        <w:jc w:val="both"/>
        <w:rPr>
          <w:rFonts w:ascii="Garamond" w:hAnsi="Garamond"/>
        </w:rPr>
      </w:pPr>
      <w:r w:rsidRPr="00B467BD">
        <w:rPr>
          <w:rFonts w:ascii="Garamond" w:hAnsi="Garamond"/>
          <w:color w:val="000000"/>
        </w:rPr>
        <w:t>2.  Для проектов А и В определить предел использования показателя внутренней нормы рентабельности.</w:t>
      </w:r>
    </w:p>
    <w:p w:rsidR="00C75CDB" w:rsidRPr="00B65E64" w:rsidRDefault="00C75CDB" w:rsidP="00C75CDB">
      <w:pPr>
        <w:shd w:val="clear" w:color="auto" w:fill="FFFFFF"/>
        <w:autoSpaceDE w:val="0"/>
        <w:autoSpaceDN w:val="0"/>
        <w:adjustRightInd w:val="0"/>
        <w:spacing w:line="360" w:lineRule="auto"/>
        <w:ind w:firstLine="706"/>
        <w:jc w:val="both"/>
        <w:rPr>
          <w:rFonts w:ascii="Garamond" w:hAnsi="Garamond"/>
          <w:color w:val="000000"/>
        </w:rPr>
      </w:pPr>
      <w:r w:rsidRPr="00B65E64">
        <w:rPr>
          <w:rFonts w:ascii="Garamond" w:hAnsi="Garamond"/>
          <w:color w:val="000000"/>
        </w:rPr>
        <w:t xml:space="preserve">3. Указать, по какому критерию необходимо оценивать инвестиционную привлекательность альтернативных проектов. </w:t>
      </w:r>
    </w:p>
    <w:p w:rsidR="00C75CDB" w:rsidRDefault="00C75CDB" w:rsidP="00C75CDB">
      <w:pPr>
        <w:shd w:val="clear" w:color="auto" w:fill="FFFFFF"/>
        <w:autoSpaceDE w:val="0"/>
        <w:autoSpaceDN w:val="0"/>
        <w:adjustRightInd w:val="0"/>
        <w:spacing w:line="360" w:lineRule="auto"/>
        <w:ind w:firstLine="706"/>
        <w:jc w:val="both"/>
        <w:rPr>
          <w:rFonts w:ascii="Garamond" w:hAnsi="Garamond"/>
          <w:color w:val="000000"/>
        </w:rPr>
      </w:pPr>
      <w:r w:rsidRPr="00B65E64">
        <w:rPr>
          <w:rFonts w:ascii="Garamond" w:hAnsi="Garamond"/>
          <w:color w:val="000000"/>
        </w:rPr>
        <w:t>4. Составить аналитическое заключение.</w:t>
      </w:r>
    </w:p>
    <w:p w:rsidR="00C75CDB" w:rsidRPr="00B65E64" w:rsidRDefault="00C75CDB" w:rsidP="00C75CDB">
      <w:pPr>
        <w:shd w:val="clear" w:color="auto" w:fill="FFFFFF"/>
        <w:autoSpaceDE w:val="0"/>
        <w:autoSpaceDN w:val="0"/>
        <w:adjustRightInd w:val="0"/>
        <w:spacing w:line="360" w:lineRule="auto"/>
        <w:jc w:val="both"/>
        <w:rPr>
          <w:rFonts w:ascii="Garamond" w:hAnsi="Garamond"/>
        </w:rPr>
      </w:pPr>
      <w:r w:rsidRPr="00B65E64">
        <w:rPr>
          <w:rFonts w:ascii="Garamond" w:hAnsi="Garamond"/>
          <w:color w:val="000000"/>
        </w:rPr>
        <w:t xml:space="preserve">Таблица. </w:t>
      </w:r>
      <w:r w:rsidRPr="00B65E64">
        <w:rPr>
          <w:rFonts w:ascii="Garamond" w:hAnsi="Garamond"/>
          <w:i/>
          <w:iCs/>
          <w:color w:val="000000"/>
        </w:rPr>
        <w:t>Оценка экономической целесообразности инвестиционных проектов</w:t>
      </w:r>
    </w:p>
    <w:tbl>
      <w:tblPr>
        <w:tblW w:w="97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20"/>
        <w:gridCol w:w="2520"/>
        <w:gridCol w:w="1620"/>
        <w:gridCol w:w="1800"/>
        <w:gridCol w:w="1800"/>
        <w:gridCol w:w="1260"/>
      </w:tblGrid>
      <w:tr w:rsidR="00C75CDB" w:rsidRPr="00B65E64" w:rsidTr="00D12C4E">
        <w:trPr>
          <w:trHeight w:val="65"/>
        </w:trPr>
        <w:tc>
          <w:tcPr>
            <w:tcW w:w="720" w:type="dxa"/>
            <w:vMerge w:val="restart"/>
            <w:shd w:val="clear" w:color="auto" w:fill="FFFFFF"/>
          </w:tcPr>
          <w:p w:rsidR="00C75CDB" w:rsidRPr="00B65E64" w:rsidRDefault="00C75CDB" w:rsidP="00D12C4E">
            <w:pPr>
              <w:shd w:val="clear" w:color="auto" w:fill="FFFFFF"/>
              <w:autoSpaceDE w:val="0"/>
              <w:autoSpaceDN w:val="0"/>
              <w:adjustRightInd w:val="0"/>
              <w:rPr>
                <w:rFonts w:ascii="Garamond" w:hAnsi="Garamond"/>
                <w:sz w:val="20"/>
                <w:szCs w:val="20"/>
              </w:rPr>
            </w:pPr>
            <w:r w:rsidRPr="00B65E64">
              <w:rPr>
                <w:rFonts w:ascii="Garamond" w:hAnsi="Garamond"/>
                <w:color w:val="000000"/>
                <w:sz w:val="20"/>
                <w:szCs w:val="20"/>
              </w:rPr>
              <w:t>Проект</w:t>
            </w:r>
          </w:p>
          <w:p w:rsidR="00C75CDB" w:rsidRPr="00B65E64" w:rsidRDefault="00C75CDB" w:rsidP="00D12C4E">
            <w:pPr>
              <w:autoSpaceDE w:val="0"/>
              <w:autoSpaceDN w:val="0"/>
              <w:adjustRightInd w:val="0"/>
              <w:rPr>
                <w:rFonts w:ascii="Garamond" w:hAnsi="Garamond"/>
              </w:rPr>
            </w:pPr>
          </w:p>
        </w:tc>
        <w:tc>
          <w:tcPr>
            <w:tcW w:w="2520" w:type="dxa"/>
            <w:vMerge w:val="restart"/>
            <w:shd w:val="clear" w:color="auto" w:fill="FFFFFF"/>
          </w:tcPr>
          <w:p w:rsidR="00C75CDB" w:rsidRPr="00B65E64" w:rsidRDefault="00C75CDB" w:rsidP="00D12C4E">
            <w:pPr>
              <w:autoSpaceDE w:val="0"/>
              <w:autoSpaceDN w:val="0"/>
              <w:adjustRightInd w:val="0"/>
              <w:rPr>
                <w:rFonts w:ascii="Garamond" w:hAnsi="Garamond"/>
              </w:rPr>
            </w:pPr>
            <w:r w:rsidRPr="00B65E64">
              <w:rPr>
                <w:rFonts w:ascii="Garamond" w:hAnsi="Garamond"/>
                <w:bCs/>
                <w:color w:val="000000"/>
              </w:rPr>
              <w:lastRenderedPageBreak/>
              <w:t>Исходные инвестиции</w:t>
            </w:r>
          </w:p>
        </w:tc>
        <w:tc>
          <w:tcPr>
            <w:tcW w:w="6480" w:type="dxa"/>
            <w:gridSpan w:val="4"/>
            <w:shd w:val="clear" w:color="auto" w:fill="FFFFFF"/>
          </w:tcPr>
          <w:p w:rsidR="00C75CDB" w:rsidRPr="00B65E64" w:rsidRDefault="00C75CDB" w:rsidP="00D12C4E">
            <w:pPr>
              <w:shd w:val="clear" w:color="auto" w:fill="FFFFFF"/>
              <w:autoSpaceDE w:val="0"/>
              <w:autoSpaceDN w:val="0"/>
              <w:adjustRightInd w:val="0"/>
              <w:rPr>
                <w:rFonts w:ascii="Garamond" w:hAnsi="Garamond"/>
              </w:rPr>
            </w:pPr>
            <w:r w:rsidRPr="00B65E64">
              <w:rPr>
                <w:rFonts w:ascii="Garamond" w:hAnsi="Garamond"/>
                <w:bCs/>
                <w:color w:val="000000"/>
              </w:rPr>
              <w:t xml:space="preserve">Чистый денежный поток в </w:t>
            </w:r>
            <w:r w:rsidRPr="00B65E64">
              <w:rPr>
                <w:rFonts w:ascii="Garamond" w:hAnsi="Garamond"/>
                <w:bCs/>
                <w:color w:val="000000"/>
                <w:lang w:val="en-US"/>
              </w:rPr>
              <w:t>t</w:t>
            </w:r>
            <w:r w:rsidRPr="00B65E64">
              <w:rPr>
                <w:rFonts w:ascii="Garamond" w:hAnsi="Garamond"/>
                <w:bCs/>
                <w:i/>
                <w:iCs/>
                <w:color w:val="000000"/>
              </w:rPr>
              <w:t xml:space="preserve"> </w:t>
            </w:r>
            <w:r w:rsidRPr="00B65E64">
              <w:rPr>
                <w:rFonts w:ascii="Garamond" w:hAnsi="Garamond"/>
                <w:bCs/>
                <w:color w:val="000000"/>
              </w:rPr>
              <w:t xml:space="preserve">году, </w:t>
            </w:r>
            <w:r w:rsidRPr="00B65E64">
              <w:rPr>
                <w:rFonts w:ascii="Garamond" w:hAnsi="Garamond"/>
                <w:color w:val="000000"/>
              </w:rPr>
              <w:t xml:space="preserve">млн р.               </w:t>
            </w:r>
          </w:p>
        </w:tc>
      </w:tr>
      <w:tr w:rsidR="00C75CDB" w:rsidRPr="00B65E64" w:rsidTr="00D12C4E">
        <w:trPr>
          <w:trHeight w:val="65"/>
        </w:trPr>
        <w:tc>
          <w:tcPr>
            <w:tcW w:w="720" w:type="dxa"/>
            <w:vMerge/>
            <w:shd w:val="clear" w:color="auto" w:fill="FFFFFF"/>
          </w:tcPr>
          <w:p w:rsidR="00C75CDB" w:rsidRPr="00B65E64" w:rsidRDefault="00C75CDB" w:rsidP="00D12C4E">
            <w:pPr>
              <w:autoSpaceDE w:val="0"/>
              <w:autoSpaceDN w:val="0"/>
              <w:adjustRightInd w:val="0"/>
              <w:rPr>
                <w:rFonts w:ascii="Garamond" w:hAnsi="Garamond"/>
              </w:rPr>
            </w:pPr>
          </w:p>
        </w:tc>
        <w:tc>
          <w:tcPr>
            <w:tcW w:w="2520" w:type="dxa"/>
            <w:vMerge/>
            <w:shd w:val="clear" w:color="auto" w:fill="FFFFFF"/>
          </w:tcPr>
          <w:p w:rsidR="00C75CDB" w:rsidRPr="00B65E64" w:rsidRDefault="00C75CDB" w:rsidP="00D12C4E">
            <w:pPr>
              <w:autoSpaceDE w:val="0"/>
              <w:autoSpaceDN w:val="0"/>
              <w:adjustRightInd w:val="0"/>
              <w:rPr>
                <w:rFonts w:ascii="Garamond" w:hAnsi="Garamond"/>
              </w:rPr>
            </w:pPr>
          </w:p>
        </w:tc>
        <w:tc>
          <w:tcPr>
            <w:tcW w:w="1620" w:type="dxa"/>
            <w:shd w:val="clear" w:color="auto" w:fill="FFFFFF"/>
          </w:tcPr>
          <w:p w:rsidR="00C75CDB" w:rsidRPr="00B65E64" w:rsidRDefault="00C75CDB" w:rsidP="00D12C4E">
            <w:pPr>
              <w:shd w:val="clear" w:color="auto" w:fill="FFFFFF"/>
              <w:autoSpaceDE w:val="0"/>
              <w:autoSpaceDN w:val="0"/>
              <w:adjustRightInd w:val="0"/>
              <w:rPr>
                <w:rFonts w:ascii="Garamond" w:hAnsi="Garamond"/>
              </w:rPr>
            </w:pPr>
            <w:r w:rsidRPr="00B65E64">
              <w:rPr>
                <w:rFonts w:ascii="Garamond" w:hAnsi="Garamond"/>
                <w:color w:val="000000"/>
                <w:lang w:val="en-US"/>
              </w:rPr>
              <w:t>t-1</w:t>
            </w:r>
          </w:p>
        </w:tc>
        <w:tc>
          <w:tcPr>
            <w:tcW w:w="1800" w:type="dxa"/>
            <w:shd w:val="clear" w:color="auto" w:fill="FFFFFF"/>
          </w:tcPr>
          <w:p w:rsidR="00C75CDB" w:rsidRPr="00B65E64" w:rsidRDefault="00C75CDB" w:rsidP="00D12C4E">
            <w:pPr>
              <w:shd w:val="clear" w:color="auto" w:fill="FFFFFF"/>
              <w:autoSpaceDE w:val="0"/>
              <w:autoSpaceDN w:val="0"/>
              <w:adjustRightInd w:val="0"/>
              <w:rPr>
                <w:rFonts w:ascii="Garamond" w:hAnsi="Garamond"/>
              </w:rPr>
            </w:pPr>
            <w:r w:rsidRPr="00B65E64">
              <w:rPr>
                <w:rFonts w:ascii="Garamond" w:hAnsi="Garamond"/>
                <w:color w:val="000000"/>
                <w:lang w:val="en-US"/>
              </w:rPr>
              <w:t>t-1</w:t>
            </w:r>
          </w:p>
        </w:tc>
        <w:tc>
          <w:tcPr>
            <w:tcW w:w="1800" w:type="dxa"/>
            <w:shd w:val="clear" w:color="auto" w:fill="FFFFFF"/>
          </w:tcPr>
          <w:p w:rsidR="00C75CDB" w:rsidRPr="00B65E64" w:rsidRDefault="00C75CDB" w:rsidP="00D12C4E">
            <w:pPr>
              <w:shd w:val="clear" w:color="auto" w:fill="FFFFFF"/>
              <w:autoSpaceDE w:val="0"/>
              <w:autoSpaceDN w:val="0"/>
              <w:adjustRightInd w:val="0"/>
              <w:rPr>
                <w:rFonts w:ascii="Garamond" w:hAnsi="Garamond"/>
              </w:rPr>
            </w:pPr>
            <w:r w:rsidRPr="00B65E64">
              <w:rPr>
                <w:rFonts w:ascii="Garamond" w:hAnsi="Garamond"/>
                <w:color w:val="000000"/>
                <w:lang w:val="en-US"/>
              </w:rPr>
              <w:t>t-3</w:t>
            </w:r>
          </w:p>
        </w:tc>
        <w:tc>
          <w:tcPr>
            <w:tcW w:w="1260" w:type="dxa"/>
            <w:shd w:val="clear" w:color="auto" w:fill="FFFFFF"/>
          </w:tcPr>
          <w:p w:rsidR="00C75CDB" w:rsidRPr="00B65E64" w:rsidRDefault="00C75CDB" w:rsidP="00D12C4E">
            <w:pPr>
              <w:shd w:val="clear" w:color="auto" w:fill="FFFFFF"/>
              <w:autoSpaceDE w:val="0"/>
              <w:autoSpaceDN w:val="0"/>
              <w:adjustRightInd w:val="0"/>
              <w:rPr>
                <w:rFonts w:ascii="Garamond" w:hAnsi="Garamond"/>
              </w:rPr>
            </w:pPr>
            <w:r w:rsidRPr="00B65E64">
              <w:rPr>
                <w:rFonts w:ascii="Garamond" w:hAnsi="Garamond"/>
                <w:color w:val="000000"/>
                <w:lang w:val="en-US"/>
              </w:rPr>
              <w:t>t-4</w:t>
            </w:r>
          </w:p>
        </w:tc>
      </w:tr>
      <w:tr w:rsidR="00C75CDB" w:rsidRPr="00B65E64" w:rsidTr="00D12C4E">
        <w:trPr>
          <w:trHeight w:val="173"/>
        </w:trPr>
        <w:tc>
          <w:tcPr>
            <w:tcW w:w="720" w:type="dxa"/>
            <w:shd w:val="clear" w:color="auto" w:fill="FFFFFF"/>
          </w:tcPr>
          <w:p w:rsidR="00C75CDB" w:rsidRPr="00B65E64" w:rsidRDefault="00C75CDB" w:rsidP="00D12C4E">
            <w:pPr>
              <w:shd w:val="clear" w:color="auto" w:fill="FFFFFF"/>
              <w:autoSpaceDE w:val="0"/>
              <w:autoSpaceDN w:val="0"/>
              <w:adjustRightInd w:val="0"/>
              <w:rPr>
                <w:rFonts w:ascii="Garamond" w:hAnsi="Garamond"/>
              </w:rPr>
            </w:pPr>
            <w:r w:rsidRPr="00B65E64">
              <w:rPr>
                <w:rFonts w:ascii="Garamond" w:hAnsi="Garamond"/>
                <w:color w:val="000000"/>
              </w:rPr>
              <w:lastRenderedPageBreak/>
              <w:t>А</w:t>
            </w:r>
          </w:p>
        </w:tc>
        <w:tc>
          <w:tcPr>
            <w:tcW w:w="2520" w:type="dxa"/>
            <w:shd w:val="clear" w:color="auto" w:fill="FFFFFF"/>
          </w:tcPr>
          <w:p w:rsidR="00C75CDB" w:rsidRPr="00B65E64" w:rsidRDefault="00C75CDB" w:rsidP="00D12C4E">
            <w:pPr>
              <w:shd w:val="clear" w:color="auto" w:fill="FFFFFF"/>
              <w:autoSpaceDE w:val="0"/>
              <w:autoSpaceDN w:val="0"/>
              <w:adjustRightInd w:val="0"/>
              <w:rPr>
                <w:rFonts w:ascii="Garamond" w:hAnsi="Garamond"/>
              </w:rPr>
            </w:pPr>
            <w:r w:rsidRPr="00B65E64">
              <w:rPr>
                <w:rFonts w:ascii="Garamond" w:hAnsi="Garamond"/>
                <w:color w:val="000000"/>
                <w:lang w:val="en-US"/>
              </w:rPr>
              <w:t>-700000</w:t>
            </w:r>
            <w:r>
              <w:rPr>
                <w:rFonts w:ascii="Garamond" w:hAnsi="Garamond"/>
                <w:color w:val="000000"/>
              </w:rPr>
              <w:t>+*</w:t>
            </w:r>
          </w:p>
        </w:tc>
        <w:tc>
          <w:tcPr>
            <w:tcW w:w="1620" w:type="dxa"/>
            <w:shd w:val="clear" w:color="auto" w:fill="FFFFFF"/>
          </w:tcPr>
          <w:p w:rsidR="00C75CDB" w:rsidRPr="00B65E64" w:rsidRDefault="00C75CDB" w:rsidP="00D12C4E">
            <w:pPr>
              <w:shd w:val="clear" w:color="auto" w:fill="FFFFFF"/>
              <w:autoSpaceDE w:val="0"/>
              <w:autoSpaceDN w:val="0"/>
              <w:adjustRightInd w:val="0"/>
              <w:rPr>
                <w:rFonts w:ascii="Garamond" w:hAnsi="Garamond"/>
              </w:rPr>
            </w:pPr>
            <w:r w:rsidRPr="00B65E64">
              <w:rPr>
                <w:rFonts w:ascii="Garamond" w:hAnsi="Garamond"/>
                <w:color w:val="000000"/>
                <w:lang w:val="en-US"/>
              </w:rPr>
              <w:t>+255206</w:t>
            </w:r>
            <w:r>
              <w:rPr>
                <w:rFonts w:ascii="Garamond" w:hAnsi="Garamond"/>
                <w:color w:val="000000"/>
              </w:rPr>
              <w:t>+*</w:t>
            </w:r>
          </w:p>
        </w:tc>
        <w:tc>
          <w:tcPr>
            <w:tcW w:w="1800" w:type="dxa"/>
            <w:shd w:val="clear" w:color="auto" w:fill="FFFFFF"/>
          </w:tcPr>
          <w:p w:rsidR="00C75CDB" w:rsidRPr="00B65E64" w:rsidRDefault="00C75CDB" w:rsidP="00D12C4E">
            <w:pPr>
              <w:shd w:val="clear" w:color="auto" w:fill="FFFFFF"/>
              <w:autoSpaceDE w:val="0"/>
              <w:autoSpaceDN w:val="0"/>
              <w:adjustRightInd w:val="0"/>
              <w:rPr>
                <w:rFonts w:ascii="Garamond" w:hAnsi="Garamond"/>
              </w:rPr>
            </w:pPr>
            <w:r w:rsidRPr="00B65E64">
              <w:rPr>
                <w:rFonts w:ascii="Garamond" w:hAnsi="Garamond"/>
                <w:color w:val="000000"/>
                <w:lang w:val="en-US"/>
              </w:rPr>
              <w:t>+255206</w:t>
            </w:r>
            <w:r>
              <w:rPr>
                <w:rFonts w:ascii="Garamond" w:hAnsi="Garamond"/>
                <w:color w:val="000000"/>
              </w:rPr>
              <w:t>+*</w:t>
            </w:r>
          </w:p>
        </w:tc>
        <w:tc>
          <w:tcPr>
            <w:tcW w:w="1800" w:type="dxa"/>
            <w:shd w:val="clear" w:color="auto" w:fill="FFFFFF"/>
          </w:tcPr>
          <w:p w:rsidR="00C75CDB" w:rsidRPr="00B65E64" w:rsidRDefault="00C75CDB" w:rsidP="00D12C4E">
            <w:pPr>
              <w:shd w:val="clear" w:color="auto" w:fill="FFFFFF"/>
              <w:autoSpaceDE w:val="0"/>
              <w:autoSpaceDN w:val="0"/>
              <w:adjustRightInd w:val="0"/>
              <w:rPr>
                <w:rFonts w:ascii="Garamond" w:hAnsi="Garamond"/>
              </w:rPr>
            </w:pPr>
            <w:r w:rsidRPr="00B65E64">
              <w:rPr>
                <w:rFonts w:ascii="Garamond" w:hAnsi="Garamond"/>
                <w:color w:val="000000"/>
                <w:lang w:val="en-US"/>
              </w:rPr>
              <w:t>+255206</w:t>
            </w:r>
            <w:r>
              <w:rPr>
                <w:rFonts w:ascii="Garamond" w:hAnsi="Garamond"/>
                <w:color w:val="000000"/>
              </w:rPr>
              <w:t>+*</w:t>
            </w:r>
          </w:p>
        </w:tc>
        <w:tc>
          <w:tcPr>
            <w:tcW w:w="1260" w:type="dxa"/>
            <w:shd w:val="clear" w:color="auto" w:fill="FFFFFF"/>
          </w:tcPr>
          <w:p w:rsidR="00C75CDB" w:rsidRPr="00B65E64" w:rsidRDefault="00C75CDB" w:rsidP="00D12C4E">
            <w:pPr>
              <w:shd w:val="clear" w:color="auto" w:fill="FFFFFF"/>
              <w:autoSpaceDE w:val="0"/>
              <w:autoSpaceDN w:val="0"/>
              <w:adjustRightInd w:val="0"/>
              <w:rPr>
                <w:rFonts w:ascii="Garamond" w:hAnsi="Garamond"/>
              </w:rPr>
            </w:pPr>
            <w:r w:rsidRPr="00B65E64">
              <w:rPr>
                <w:rFonts w:ascii="Garamond" w:hAnsi="Garamond"/>
                <w:color w:val="000000"/>
                <w:lang w:val="en-US"/>
              </w:rPr>
              <w:t>+255206</w:t>
            </w:r>
            <w:r>
              <w:rPr>
                <w:rFonts w:ascii="Garamond" w:hAnsi="Garamond"/>
                <w:color w:val="000000"/>
              </w:rPr>
              <w:t>+*</w:t>
            </w:r>
          </w:p>
        </w:tc>
      </w:tr>
      <w:tr w:rsidR="00C75CDB" w:rsidRPr="00B65E64" w:rsidTr="00D12C4E">
        <w:trPr>
          <w:trHeight w:val="180"/>
        </w:trPr>
        <w:tc>
          <w:tcPr>
            <w:tcW w:w="720" w:type="dxa"/>
            <w:shd w:val="clear" w:color="auto" w:fill="FFFFFF"/>
          </w:tcPr>
          <w:p w:rsidR="00C75CDB" w:rsidRPr="00B65E64" w:rsidRDefault="00C75CDB" w:rsidP="00D12C4E">
            <w:pPr>
              <w:shd w:val="clear" w:color="auto" w:fill="FFFFFF"/>
              <w:autoSpaceDE w:val="0"/>
              <w:autoSpaceDN w:val="0"/>
              <w:adjustRightInd w:val="0"/>
              <w:rPr>
                <w:rFonts w:ascii="Garamond" w:hAnsi="Garamond"/>
              </w:rPr>
            </w:pPr>
            <w:r w:rsidRPr="00B65E64">
              <w:rPr>
                <w:rFonts w:ascii="Garamond" w:hAnsi="Garamond"/>
                <w:color w:val="000000"/>
              </w:rPr>
              <w:t>Б</w:t>
            </w:r>
          </w:p>
        </w:tc>
        <w:tc>
          <w:tcPr>
            <w:tcW w:w="2520" w:type="dxa"/>
            <w:shd w:val="clear" w:color="auto" w:fill="FFFFFF"/>
          </w:tcPr>
          <w:p w:rsidR="00C75CDB" w:rsidRPr="00B65E64" w:rsidRDefault="00C75CDB" w:rsidP="00D12C4E">
            <w:pPr>
              <w:shd w:val="clear" w:color="auto" w:fill="FFFFFF"/>
              <w:autoSpaceDE w:val="0"/>
              <w:autoSpaceDN w:val="0"/>
              <w:adjustRightInd w:val="0"/>
              <w:rPr>
                <w:rFonts w:ascii="Garamond" w:hAnsi="Garamond"/>
              </w:rPr>
            </w:pPr>
            <w:r w:rsidRPr="00B65E64">
              <w:rPr>
                <w:rFonts w:ascii="Garamond" w:hAnsi="Garamond"/>
                <w:color w:val="000000"/>
                <w:lang w:val="en-US"/>
              </w:rPr>
              <w:t>-100000</w:t>
            </w:r>
            <w:r>
              <w:rPr>
                <w:rFonts w:ascii="Garamond" w:hAnsi="Garamond"/>
                <w:color w:val="000000"/>
              </w:rPr>
              <w:t>+*</w:t>
            </w:r>
          </w:p>
        </w:tc>
        <w:tc>
          <w:tcPr>
            <w:tcW w:w="1620" w:type="dxa"/>
            <w:shd w:val="clear" w:color="auto" w:fill="FFFFFF"/>
          </w:tcPr>
          <w:p w:rsidR="00C75CDB" w:rsidRPr="00B65E64" w:rsidRDefault="00C75CDB" w:rsidP="00D12C4E">
            <w:pPr>
              <w:shd w:val="clear" w:color="auto" w:fill="FFFFFF"/>
              <w:autoSpaceDE w:val="0"/>
              <w:autoSpaceDN w:val="0"/>
              <w:adjustRightInd w:val="0"/>
              <w:rPr>
                <w:rFonts w:ascii="Garamond" w:hAnsi="Garamond"/>
              </w:rPr>
            </w:pPr>
            <w:r w:rsidRPr="00B65E64">
              <w:rPr>
                <w:rFonts w:ascii="Garamond" w:hAnsi="Garamond"/>
                <w:color w:val="000000"/>
                <w:lang w:val="en-US"/>
              </w:rPr>
              <w:t>+40833</w:t>
            </w:r>
            <w:r>
              <w:rPr>
                <w:rFonts w:ascii="Garamond" w:hAnsi="Garamond"/>
                <w:color w:val="000000"/>
              </w:rPr>
              <w:t>+*</w:t>
            </w:r>
          </w:p>
        </w:tc>
        <w:tc>
          <w:tcPr>
            <w:tcW w:w="1800" w:type="dxa"/>
            <w:shd w:val="clear" w:color="auto" w:fill="FFFFFF"/>
          </w:tcPr>
          <w:p w:rsidR="00C75CDB" w:rsidRPr="00B65E64" w:rsidRDefault="00C75CDB" w:rsidP="00D12C4E">
            <w:pPr>
              <w:shd w:val="clear" w:color="auto" w:fill="FFFFFF"/>
              <w:autoSpaceDE w:val="0"/>
              <w:autoSpaceDN w:val="0"/>
              <w:adjustRightInd w:val="0"/>
              <w:rPr>
                <w:rFonts w:ascii="Garamond" w:hAnsi="Garamond"/>
              </w:rPr>
            </w:pPr>
            <w:r w:rsidRPr="00B65E64">
              <w:rPr>
                <w:rFonts w:ascii="Garamond" w:hAnsi="Garamond"/>
                <w:color w:val="000000"/>
                <w:lang w:val="en-US"/>
              </w:rPr>
              <w:t>+40833</w:t>
            </w:r>
            <w:r>
              <w:rPr>
                <w:rFonts w:ascii="Garamond" w:hAnsi="Garamond"/>
                <w:color w:val="000000"/>
              </w:rPr>
              <w:t>+*</w:t>
            </w:r>
          </w:p>
        </w:tc>
        <w:tc>
          <w:tcPr>
            <w:tcW w:w="1800" w:type="dxa"/>
            <w:shd w:val="clear" w:color="auto" w:fill="FFFFFF"/>
          </w:tcPr>
          <w:p w:rsidR="00C75CDB" w:rsidRPr="00B65E64" w:rsidRDefault="00C75CDB" w:rsidP="00D12C4E">
            <w:pPr>
              <w:shd w:val="clear" w:color="auto" w:fill="FFFFFF"/>
              <w:autoSpaceDE w:val="0"/>
              <w:autoSpaceDN w:val="0"/>
              <w:adjustRightInd w:val="0"/>
              <w:rPr>
                <w:rFonts w:ascii="Garamond" w:hAnsi="Garamond"/>
              </w:rPr>
            </w:pPr>
            <w:r w:rsidRPr="00B65E64">
              <w:rPr>
                <w:rFonts w:ascii="Garamond" w:hAnsi="Garamond"/>
                <w:bCs/>
                <w:color w:val="000000"/>
                <w:lang w:val="en-US"/>
              </w:rPr>
              <w:t>+40833</w:t>
            </w:r>
            <w:r>
              <w:rPr>
                <w:rFonts w:ascii="Garamond" w:hAnsi="Garamond"/>
                <w:color w:val="000000"/>
              </w:rPr>
              <w:t>+*</w:t>
            </w:r>
          </w:p>
        </w:tc>
        <w:tc>
          <w:tcPr>
            <w:tcW w:w="1260" w:type="dxa"/>
            <w:shd w:val="clear" w:color="auto" w:fill="FFFFFF"/>
          </w:tcPr>
          <w:p w:rsidR="00C75CDB" w:rsidRPr="00B65E64" w:rsidRDefault="00C75CDB" w:rsidP="00D12C4E">
            <w:pPr>
              <w:shd w:val="clear" w:color="auto" w:fill="FFFFFF"/>
              <w:autoSpaceDE w:val="0"/>
              <w:autoSpaceDN w:val="0"/>
              <w:adjustRightInd w:val="0"/>
              <w:rPr>
                <w:rFonts w:ascii="Garamond" w:hAnsi="Garamond"/>
              </w:rPr>
            </w:pPr>
            <w:r w:rsidRPr="00B65E64">
              <w:rPr>
                <w:rFonts w:ascii="Garamond" w:hAnsi="Garamond"/>
                <w:color w:val="000000"/>
                <w:lang w:val="en-US"/>
              </w:rPr>
              <w:t>+40833</w:t>
            </w:r>
            <w:r>
              <w:rPr>
                <w:rFonts w:ascii="Garamond" w:hAnsi="Garamond"/>
                <w:color w:val="000000"/>
              </w:rPr>
              <w:t>+*</w:t>
            </w:r>
          </w:p>
        </w:tc>
      </w:tr>
    </w:tbl>
    <w:p w:rsidR="00C75CDB" w:rsidRPr="00B65E64" w:rsidRDefault="00C75CDB" w:rsidP="00C75CDB">
      <w:pPr>
        <w:shd w:val="clear" w:color="auto" w:fill="FFFFFF"/>
        <w:autoSpaceDE w:val="0"/>
        <w:autoSpaceDN w:val="0"/>
        <w:adjustRightInd w:val="0"/>
        <w:rPr>
          <w:rFonts w:ascii="Garamond" w:hAnsi="Garamond"/>
          <w:color w:val="000000"/>
          <w:sz w:val="16"/>
          <w:szCs w:val="16"/>
        </w:rPr>
      </w:pPr>
    </w:p>
    <w:p w:rsidR="00C75CDB" w:rsidRPr="00DC3314" w:rsidRDefault="00C75CDB" w:rsidP="00C75CDB">
      <w:pPr>
        <w:shd w:val="clear" w:color="auto" w:fill="FFFFFF"/>
        <w:autoSpaceDE w:val="0"/>
        <w:autoSpaceDN w:val="0"/>
        <w:adjustRightInd w:val="0"/>
        <w:spacing w:after="0" w:line="360" w:lineRule="auto"/>
        <w:ind w:firstLine="709"/>
        <w:jc w:val="both"/>
        <w:rPr>
          <w:rFonts w:ascii="Times New Roman" w:hAnsi="Times New Roman"/>
          <w:b/>
          <w:i/>
          <w:color w:val="000000"/>
        </w:rPr>
      </w:pPr>
      <w:r w:rsidRPr="00DC3314">
        <w:rPr>
          <w:rFonts w:ascii="Times New Roman" w:hAnsi="Times New Roman"/>
          <w:b/>
          <w:i/>
          <w:color w:val="000000"/>
        </w:rPr>
        <w:t>ОТВЕТ</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sidRPr="009651D7">
        <w:rPr>
          <w:rFonts w:ascii="Times New Roman" w:hAnsi="Times New Roman"/>
          <w:b/>
          <w:color w:val="000000"/>
        </w:rPr>
        <w:t xml:space="preserve">Чистая текущая  стоимость (NPV – </w:t>
      </w:r>
      <w:r w:rsidRPr="009651D7">
        <w:rPr>
          <w:rFonts w:ascii="Times New Roman" w:hAnsi="Times New Roman"/>
          <w:b/>
          <w:color w:val="000000"/>
          <w:lang w:val="en-US"/>
        </w:rPr>
        <w:t>Net</w:t>
      </w:r>
      <w:r w:rsidRPr="009651D7">
        <w:rPr>
          <w:rFonts w:ascii="Times New Roman" w:hAnsi="Times New Roman"/>
          <w:b/>
          <w:color w:val="000000"/>
        </w:rPr>
        <w:t xml:space="preserve"> </w:t>
      </w:r>
      <w:r w:rsidRPr="009651D7">
        <w:rPr>
          <w:rFonts w:ascii="Times New Roman" w:hAnsi="Times New Roman"/>
          <w:b/>
          <w:color w:val="000000"/>
          <w:lang w:val="en-US"/>
        </w:rPr>
        <w:t>present</w:t>
      </w:r>
      <w:r w:rsidRPr="009651D7">
        <w:rPr>
          <w:rFonts w:ascii="Times New Roman" w:hAnsi="Times New Roman"/>
          <w:b/>
          <w:color w:val="000000"/>
        </w:rPr>
        <w:t xml:space="preserve"> </w:t>
      </w:r>
      <w:r w:rsidRPr="009651D7">
        <w:rPr>
          <w:rFonts w:ascii="Times New Roman" w:hAnsi="Times New Roman"/>
          <w:b/>
          <w:color w:val="000000"/>
          <w:lang w:val="en-US"/>
        </w:rPr>
        <w:t>value</w:t>
      </w:r>
      <w:r w:rsidRPr="009651D7">
        <w:rPr>
          <w:rFonts w:ascii="Times New Roman" w:hAnsi="Times New Roman"/>
          <w:b/>
          <w:color w:val="000000"/>
        </w:rPr>
        <w:t>)</w:t>
      </w:r>
      <w:r>
        <w:rPr>
          <w:rFonts w:ascii="Times New Roman" w:hAnsi="Times New Roman"/>
          <w:color w:val="000000"/>
        </w:rPr>
        <w:t xml:space="preserve"> –</w:t>
      </w:r>
      <w:r w:rsidRPr="00773A67">
        <w:rPr>
          <w:rFonts w:ascii="Times New Roman" w:hAnsi="Times New Roman"/>
          <w:color w:val="000000"/>
        </w:rPr>
        <w:t xml:space="preserve"> это сумма дисконтированных значений потока платежей, приведённых к сегодняшнему дню. Показатель NPV представляет собой разницу между всеми денежными притоками и оттоками, приведенными к текущему моменту времени (моменту оценки инвестиционного проекта). Он показывает величину денежных средств, которую инвестор ожидает получить от проекта, после того, как денежные притоки окупят его первоначальные инвестиционные затраты и периодические денежные оттоки, связанные с осуществлением проекта. Поскольку денежные платежи оцениваются с учетом их временной стоимости и рисков, NPV можно интерпретировать, как стоимость, добавляемую проектом. Ее также можно интерпретировать как общую прибыль инвестора.</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sidRPr="00405669">
        <w:rPr>
          <w:rFonts w:ascii="Times New Roman" w:hAnsi="Times New Roman"/>
          <w:color w:val="000000"/>
          <w:position w:val="-30"/>
        </w:rPr>
        <w:object w:dxaOrig="3280" w:dyaOrig="700">
          <v:shape id="_x0000_i1027" type="#_x0000_t75" style="width:164.25pt;height:35.25pt" o:ole="">
            <v:imagedata r:id="rId8" o:title=""/>
          </v:shape>
          <o:OLEObject Type="Embed" ProgID="Equation.3" ShapeID="_x0000_i1027" DrawAspect="Content" ObjectID="_1414226025" r:id="rId9"/>
        </w:object>
      </w:r>
      <w:r>
        <w:rPr>
          <w:rFonts w:ascii="Times New Roman" w:hAnsi="Times New Roman"/>
          <w:color w:val="000000"/>
        </w:rPr>
        <w:t>,</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Pr>
          <w:rFonts w:ascii="Times New Roman" w:hAnsi="Times New Roman"/>
          <w:color w:val="000000"/>
        </w:rPr>
        <w:t>где PV – текущая стоимость будущих денежных потоков;</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Pr>
          <w:rFonts w:ascii="Times New Roman" w:hAnsi="Times New Roman"/>
          <w:color w:val="000000"/>
          <w:lang w:val="en-US"/>
        </w:rPr>
        <w:t>I</w:t>
      </w:r>
      <w:r w:rsidRPr="005C777F">
        <w:rPr>
          <w:rFonts w:ascii="Times New Roman" w:hAnsi="Times New Roman"/>
          <w:color w:val="000000"/>
          <w:vertAlign w:val="subscript"/>
        </w:rPr>
        <w:t>0</w:t>
      </w:r>
      <w:r w:rsidRPr="005C777F">
        <w:rPr>
          <w:rFonts w:ascii="Times New Roman" w:hAnsi="Times New Roman"/>
          <w:color w:val="000000"/>
        </w:rPr>
        <w:t xml:space="preserve"> – </w:t>
      </w:r>
      <w:r>
        <w:rPr>
          <w:rFonts w:ascii="Times New Roman" w:hAnsi="Times New Roman"/>
          <w:color w:val="000000"/>
        </w:rPr>
        <w:t>первоначальные инвестиционные затраты;</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sidRPr="005C777F">
        <w:rPr>
          <w:rFonts w:ascii="Times New Roman" w:hAnsi="Times New Roman"/>
          <w:color w:val="000000"/>
        </w:rPr>
        <w:t>C</w:t>
      </w:r>
      <w:r>
        <w:rPr>
          <w:rFonts w:ascii="Times New Roman" w:hAnsi="Times New Roman"/>
          <w:color w:val="000000"/>
          <w:lang w:val="en-US"/>
        </w:rPr>
        <w:t>F</w:t>
      </w:r>
      <w:r w:rsidRPr="005C777F">
        <w:rPr>
          <w:rFonts w:ascii="Times New Roman" w:hAnsi="Times New Roman"/>
          <w:color w:val="000000"/>
          <w:vertAlign w:val="subscript"/>
        </w:rPr>
        <w:t>t</w:t>
      </w:r>
      <w:r w:rsidRPr="005C777F">
        <w:rPr>
          <w:rFonts w:ascii="Times New Roman" w:hAnsi="Times New Roman"/>
          <w:color w:val="000000"/>
        </w:rPr>
        <w:t xml:space="preserve"> </w:t>
      </w:r>
      <w:r>
        <w:rPr>
          <w:rFonts w:ascii="Times New Roman" w:hAnsi="Times New Roman"/>
          <w:color w:val="000000"/>
        </w:rPr>
        <w:t>– денежный поток за t год;</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Pr>
          <w:rFonts w:ascii="Times New Roman" w:hAnsi="Times New Roman"/>
          <w:color w:val="000000"/>
          <w:lang w:val="en-US"/>
        </w:rPr>
        <w:t>r</w:t>
      </w:r>
      <w:r w:rsidRPr="004812BF">
        <w:rPr>
          <w:rFonts w:ascii="Times New Roman" w:hAnsi="Times New Roman"/>
          <w:color w:val="000000"/>
        </w:rPr>
        <w:t xml:space="preserve"> – </w:t>
      </w:r>
      <w:r>
        <w:rPr>
          <w:rFonts w:ascii="Times New Roman" w:hAnsi="Times New Roman"/>
          <w:color w:val="000000"/>
        </w:rPr>
        <w:t>коэффициент дисконтирования;</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Pr>
          <w:rFonts w:ascii="Times New Roman" w:hAnsi="Times New Roman"/>
          <w:color w:val="000000"/>
          <w:lang w:val="en-US"/>
        </w:rPr>
        <w:t>n</w:t>
      </w:r>
      <w:r w:rsidRPr="004D0B49">
        <w:rPr>
          <w:rFonts w:ascii="Times New Roman" w:hAnsi="Times New Roman"/>
          <w:color w:val="000000"/>
        </w:rPr>
        <w:t xml:space="preserve"> – </w:t>
      </w:r>
      <w:r>
        <w:rPr>
          <w:rFonts w:ascii="Times New Roman" w:hAnsi="Times New Roman"/>
          <w:color w:val="000000"/>
        </w:rPr>
        <w:t>продолжительность инвестиционного проекта (годы).</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Pr>
          <w:rFonts w:ascii="Times New Roman" w:hAnsi="Times New Roman"/>
          <w:color w:val="000000"/>
        </w:rPr>
        <w:t>При рассмотрении альтернативных проектов выбирается проект с высшей NPV.</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sidRPr="008D51F6">
        <w:rPr>
          <w:rFonts w:ascii="Times New Roman" w:hAnsi="Times New Roman"/>
          <w:b/>
          <w:color w:val="000000"/>
        </w:rPr>
        <w:t>Внутренняя норма доходности (</w:t>
      </w:r>
      <w:r w:rsidRPr="006E55F8">
        <w:rPr>
          <w:rFonts w:ascii="Times New Roman" w:hAnsi="Times New Roman"/>
          <w:b/>
          <w:color w:val="000000"/>
          <w:lang w:val="en-US"/>
        </w:rPr>
        <w:t>IRR</w:t>
      </w:r>
      <w:r w:rsidRPr="008D51F6">
        <w:rPr>
          <w:rFonts w:ascii="Times New Roman" w:hAnsi="Times New Roman"/>
          <w:b/>
          <w:color w:val="000000"/>
        </w:rPr>
        <w:t xml:space="preserve"> – </w:t>
      </w:r>
      <w:r w:rsidRPr="006E55F8">
        <w:rPr>
          <w:rFonts w:ascii="Times New Roman" w:hAnsi="Times New Roman"/>
          <w:b/>
          <w:color w:val="000000"/>
          <w:lang w:val="en-US"/>
        </w:rPr>
        <w:t>Internal</w:t>
      </w:r>
      <w:r w:rsidRPr="008D51F6">
        <w:rPr>
          <w:rFonts w:ascii="Times New Roman" w:hAnsi="Times New Roman"/>
          <w:b/>
          <w:color w:val="000000"/>
        </w:rPr>
        <w:t xml:space="preserve"> </w:t>
      </w:r>
      <w:r w:rsidRPr="006E55F8">
        <w:rPr>
          <w:rFonts w:ascii="Times New Roman" w:hAnsi="Times New Roman"/>
          <w:b/>
          <w:color w:val="000000"/>
          <w:lang w:val="en-US"/>
        </w:rPr>
        <w:t>Rate</w:t>
      </w:r>
      <w:r w:rsidRPr="008D51F6">
        <w:rPr>
          <w:rFonts w:ascii="Times New Roman" w:hAnsi="Times New Roman"/>
          <w:b/>
          <w:color w:val="000000"/>
        </w:rPr>
        <w:t xml:space="preserve"> </w:t>
      </w:r>
      <w:r w:rsidRPr="006E55F8">
        <w:rPr>
          <w:rFonts w:ascii="Times New Roman" w:hAnsi="Times New Roman"/>
          <w:b/>
          <w:color w:val="000000"/>
          <w:lang w:val="en-US"/>
        </w:rPr>
        <w:t>of</w:t>
      </w:r>
      <w:r w:rsidRPr="008D51F6">
        <w:rPr>
          <w:rFonts w:ascii="Times New Roman" w:hAnsi="Times New Roman"/>
          <w:b/>
          <w:color w:val="000000"/>
        </w:rPr>
        <w:t xml:space="preserve"> </w:t>
      </w:r>
      <w:r w:rsidRPr="006E55F8">
        <w:rPr>
          <w:rFonts w:ascii="Times New Roman" w:hAnsi="Times New Roman"/>
          <w:b/>
          <w:color w:val="000000"/>
          <w:lang w:val="en-US"/>
        </w:rPr>
        <w:t>Return</w:t>
      </w:r>
      <w:r w:rsidRPr="008D51F6">
        <w:rPr>
          <w:rFonts w:ascii="Times New Roman" w:hAnsi="Times New Roman"/>
          <w:b/>
          <w:color w:val="000000"/>
        </w:rPr>
        <w:t>)</w:t>
      </w:r>
      <w:r w:rsidRPr="008D51F6">
        <w:rPr>
          <w:rFonts w:ascii="Times New Roman" w:hAnsi="Times New Roman"/>
          <w:color w:val="000000"/>
        </w:rPr>
        <w:t xml:space="preserve"> – </w:t>
      </w:r>
      <w:r>
        <w:rPr>
          <w:rFonts w:ascii="Times New Roman" w:hAnsi="Times New Roman"/>
          <w:color w:val="000000"/>
        </w:rPr>
        <w:t>это</w:t>
      </w:r>
      <w:r w:rsidRPr="008D51F6">
        <w:rPr>
          <w:rFonts w:ascii="Times New Roman" w:hAnsi="Times New Roman"/>
          <w:color w:val="000000"/>
        </w:rPr>
        <w:t xml:space="preserve"> процентная ставка, при которой чистый дисконтированный доход (</w:t>
      </w:r>
      <w:r w:rsidRPr="008D51F6">
        <w:rPr>
          <w:rFonts w:ascii="Times New Roman" w:hAnsi="Times New Roman"/>
          <w:color w:val="000000"/>
          <w:lang w:val="en-US"/>
        </w:rPr>
        <w:t>NPV</w:t>
      </w:r>
      <w:r>
        <w:rPr>
          <w:rFonts w:ascii="Times New Roman" w:hAnsi="Times New Roman"/>
          <w:color w:val="000000"/>
        </w:rPr>
        <w:t xml:space="preserve">) равен 0 или </w:t>
      </w:r>
      <w:r w:rsidRPr="008D51F6">
        <w:rPr>
          <w:rFonts w:ascii="Times New Roman" w:hAnsi="Times New Roman"/>
          <w:color w:val="000000"/>
        </w:rPr>
        <w:t>это ставка дисконта, при которой дисконтированные доходы от проекта равны инвестиционным затратам.</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sidRPr="00870E3D">
        <w:rPr>
          <w:rFonts w:ascii="Times New Roman" w:hAnsi="Times New Roman"/>
          <w:color w:val="000000"/>
          <w:position w:val="-30"/>
        </w:rPr>
        <w:object w:dxaOrig="2920" w:dyaOrig="700">
          <v:shape id="_x0000_i1028" type="#_x0000_t75" style="width:146.25pt;height:35.25pt" o:ole="">
            <v:imagedata r:id="rId10" o:title=""/>
          </v:shape>
          <o:OLEObject Type="Embed" ProgID="Equation.3" ShapeID="_x0000_i1028" DrawAspect="Content" ObjectID="_1414226026" r:id="rId11"/>
        </w:object>
      </w:r>
    </w:p>
    <w:p w:rsidR="00C75CDB" w:rsidRPr="008F1BF4"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Pr>
          <w:rFonts w:ascii="Times New Roman" w:hAnsi="Times New Roman"/>
          <w:color w:val="000000"/>
        </w:rPr>
        <w:t xml:space="preserve">где, </w:t>
      </w:r>
      <w:r>
        <w:rPr>
          <w:rFonts w:ascii="Times New Roman" w:hAnsi="Times New Roman"/>
          <w:color w:val="000000"/>
          <w:lang w:val="en-US"/>
        </w:rPr>
        <w:t>NPV</w:t>
      </w:r>
      <w:r w:rsidRPr="008F1BF4">
        <w:rPr>
          <w:rFonts w:ascii="Times New Roman" w:hAnsi="Times New Roman"/>
          <w:color w:val="000000"/>
        </w:rPr>
        <w:t xml:space="preserve"> – </w:t>
      </w:r>
      <w:r>
        <w:rPr>
          <w:rFonts w:ascii="Times New Roman" w:hAnsi="Times New Roman"/>
          <w:color w:val="000000"/>
          <w:lang w:val="en-US"/>
        </w:rPr>
        <w:t>x</w:t>
      </w:r>
      <w:r w:rsidRPr="008F1BF4">
        <w:rPr>
          <w:rFonts w:ascii="Times New Roman" w:hAnsi="Times New Roman"/>
          <w:color w:val="000000"/>
        </w:rPr>
        <w:t>истая текущая  стоимость;</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sidRPr="005C777F">
        <w:rPr>
          <w:rFonts w:ascii="Times New Roman" w:hAnsi="Times New Roman"/>
          <w:color w:val="000000"/>
        </w:rPr>
        <w:t>C</w:t>
      </w:r>
      <w:r>
        <w:rPr>
          <w:rFonts w:ascii="Times New Roman" w:hAnsi="Times New Roman"/>
          <w:color w:val="000000"/>
          <w:lang w:val="en-US"/>
        </w:rPr>
        <w:t>F</w:t>
      </w:r>
      <w:r w:rsidRPr="005C777F">
        <w:rPr>
          <w:rFonts w:ascii="Times New Roman" w:hAnsi="Times New Roman"/>
          <w:color w:val="000000"/>
          <w:vertAlign w:val="subscript"/>
        </w:rPr>
        <w:t>t</w:t>
      </w:r>
      <w:r w:rsidRPr="005C777F">
        <w:rPr>
          <w:rFonts w:ascii="Times New Roman" w:hAnsi="Times New Roman"/>
          <w:color w:val="000000"/>
        </w:rPr>
        <w:t xml:space="preserve"> </w:t>
      </w:r>
      <w:r>
        <w:rPr>
          <w:rFonts w:ascii="Times New Roman" w:hAnsi="Times New Roman"/>
          <w:color w:val="000000"/>
        </w:rPr>
        <w:t>– денежный поток за t год;</w:t>
      </w:r>
    </w:p>
    <w:p w:rsidR="00C75CDB" w:rsidRPr="008D51F6"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Pr>
          <w:rFonts w:ascii="Times New Roman" w:hAnsi="Times New Roman"/>
          <w:color w:val="000000"/>
          <w:lang w:val="en-US"/>
        </w:rPr>
        <w:t>I</w:t>
      </w:r>
      <w:r w:rsidRPr="005C777F">
        <w:rPr>
          <w:rFonts w:ascii="Times New Roman" w:hAnsi="Times New Roman"/>
          <w:color w:val="000000"/>
          <w:vertAlign w:val="subscript"/>
        </w:rPr>
        <w:t>0</w:t>
      </w:r>
      <w:r w:rsidRPr="005C777F">
        <w:rPr>
          <w:rFonts w:ascii="Times New Roman" w:hAnsi="Times New Roman"/>
          <w:color w:val="000000"/>
        </w:rPr>
        <w:t xml:space="preserve"> – </w:t>
      </w:r>
      <w:r>
        <w:rPr>
          <w:rFonts w:ascii="Times New Roman" w:hAnsi="Times New Roman"/>
          <w:color w:val="000000"/>
        </w:rPr>
        <w:t>первоначальные инвестиционные затраты.</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sidRPr="009651D7">
        <w:rPr>
          <w:rFonts w:ascii="Times New Roman" w:hAnsi="Times New Roman"/>
          <w:b/>
          <w:color w:val="000000"/>
        </w:rPr>
        <w:t>Индекс</w:t>
      </w:r>
      <w:r w:rsidRPr="009C15B3">
        <w:rPr>
          <w:rFonts w:ascii="Times New Roman" w:hAnsi="Times New Roman"/>
          <w:b/>
          <w:color w:val="000000"/>
        </w:rPr>
        <w:t xml:space="preserve"> </w:t>
      </w:r>
      <w:r w:rsidRPr="009651D7">
        <w:rPr>
          <w:rFonts w:ascii="Times New Roman" w:hAnsi="Times New Roman"/>
          <w:b/>
          <w:color w:val="000000"/>
        </w:rPr>
        <w:t>рентабельности</w:t>
      </w:r>
      <w:r w:rsidRPr="009C15B3">
        <w:rPr>
          <w:rFonts w:ascii="Times New Roman" w:hAnsi="Times New Roman"/>
          <w:b/>
          <w:color w:val="000000"/>
        </w:rPr>
        <w:t xml:space="preserve"> (</w:t>
      </w:r>
      <w:r w:rsidRPr="009651D7">
        <w:rPr>
          <w:rFonts w:ascii="Times New Roman" w:hAnsi="Times New Roman"/>
          <w:b/>
          <w:color w:val="000000"/>
          <w:lang w:val="en-US"/>
        </w:rPr>
        <w:t>PI</w:t>
      </w:r>
      <w:r w:rsidRPr="009C15B3">
        <w:rPr>
          <w:rFonts w:ascii="Times New Roman" w:hAnsi="Times New Roman"/>
          <w:b/>
          <w:color w:val="000000"/>
        </w:rPr>
        <w:t xml:space="preserve"> – </w:t>
      </w:r>
      <w:r w:rsidRPr="009651D7">
        <w:rPr>
          <w:rFonts w:ascii="Times New Roman" w:hAnsi="Times New Roman"/>
          <w:b/>
          <w:color w:val="000000"/>
          <w:lang w:val="en-US"/>
        </w:rPr>
        <w:t>Profitability</w:t>
      </w:r>
      <w:r w:rsidRPr="009C15B3">
        <w:rPr>
          <w:rFonts w:ascii="Times New Roman" w:hAnsi="Times New Roman"/>
          <w:b/>
          <w:color w:val="000000"/>
        </w:rPr>
        <w:t xml:space="preserve"> </w:t>
      </w:r>
      <w:r w:rsidRPr="009651D7">
        <w:rPr>
          <w:rFonts w:ascii="Times New Roman" w:hAnsi="Times New Roman"/>
          <w:b/>
          <w:color w:val="000000"/>
          <w:lang w:val="en-US"/>
        </w:rPr>
        <w:t>Index</w:t>
      </w:r>
      <w:r w:rsidRPr="009C15B3">
        <w:rPr>
          <w:rFonts w:ascii="Times New Roman" w:hAnsi="Times New Roman"/>
          <w:b/>
          <w:color w:val="000000"/>
        </w:rPr>
        <w:t>)</w:t>
      </w:r>
      <w:r w:rsidRPr="009C15B3">
        <w:rPr>
          <w:rFonts w:ascii="Times New Roman" w:hAnsi="Times New Roman"/>
          <w:color w:val="000000"/>
        </w:rPr>
        <w:t xml:space="preserve"> – показывает относительную прибыльность проекта, или дисконтированную стоимость денежных поступлений от проекта в расчете на единицу вложений. Он рассчитывается путем деления чистых приведенных поступлений от проекта на стоимост</w:t>
      </w:r>
      <w:r>
        <w:rPr>
          <w:rFonts w:ascii="Times New Roman" w:hAnsi="Times New Roman"/>
          <w:color w:val="000000"/>
        </w:rPr>
        <w:t>ь первоначальных вложений.</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sidRPr="00BA4F89">
        <w:rPr>
          <w:rFonts w:ascii="Times New Roman" w:hAnsi="Times New Roman"/>
          <w:color w:val="000000"/>
          <w:position w:val="-30"/>
        </w:rPr>
        <w:object w:dxaOrig="960" w:dyaOrig="680">
          <v:shape id="_x0000_i1029" type="#_x0000_t75" style="width:48pt;height:33.75pt" o:ole="">
            <v:imagedata r:id="rId12" o:title=""/>
          </v:shape>
          <o:OLEObject Type="Embed" ProgID="Equation.3" ShapeID="_x0000_i1029" DrawAspect="Content" ObjectID="_1414226027" r:id="rId13"/>
        </w:object>
      </w:r>
      <w:r>
        <w:rPr>
          <w:rFonts w:ascii="Times New Roman" w:hAnsi="Times New Roman"/>
          <w:color w:val="000000"/>
        </w:rPr>
        <w:t>,</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Pr>
          <w:rFonts w:ascii="Times New Roman" w:hAnsi="Times New Roman"/>
          <w:color w:val="000000"/>
        </w:rPr>
        <w:t>где PV – текущая стоимость будущих денежных потоков;</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Pr>
          <w:rFonts w:ascii="Times New Roman" w:hAnsi="Times New Roman"/>
          <w:color w:val="000000"/>
          <w:lang w:val="en-US"/>
        </w:rPr>
        <w:lastRenderedPageBreak/>
        <w:t>I</w:t>
      </w:r>
      <w:r w:rsidRPr="005C777F">
        <w:rPr>
          <w:rFonts w:ascii="Times New Roman" w:hAnsi="Times New Roman"/>
          <w:color w:val="000000"/>
          <w:vertAlign w:val="subscript"/>
        </w:rPr>
        <w:t>0</w:t>
      </w:r>
      <w:r w:rsidRPr="005C777F">
        <w:rPr>
          <w:rFonts w:ascii="Times New Roman" w:hAnsi="Times New Roman"/>
          <w:color w:val="000000"/>
        </w:rPr>
        <w:t xml:space="preserve"> – </w:t>
      </w:r>
      <w:r>
        <w:rPr>
          <w:rFonts w:ascii="Times New Roman" w:hAnsi="Times New Roman"/>
          <w:color w:val="000000"/>
        </w:rPr>
        <w:t>первоначальные инвестиционные затраты.</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Pr>
          <w:rFonts w:ascii="Times New Roman" w:hAnsi="Times New Roman"/>
          <w:color w:val="000000"/>
        </w:rPr>
        <w:t>До тех пор пока PI&gt;1, проект можно принимать к реализации.</w:t>
      </w:r>
    </w:p>
    <w:p w:rsidR="00C75CDB" w:rsidRPr="003F06EC"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Pr>
          <w:rFonts w:ascii="Times New Roman" w:hAnsi="Times New Roman"/>
          <w:color w:val="000000"/>
        </w:rPr>
        <w:t xml:space="preserve">Исходные данные представим в таблице 8 и, используя приведенные выше формулы, рассчитаем </w:t>
      </w:r>
      <w:r w:rsidRPr="005C777F">
        <w:rPr>
          <w:rFonts w:ascii="Times New Roman" w:hAnsi="Times New Roman"/>
          <w:color w:val="000000"/>
        </w:rPr>
        <w:t>C</w:t>
      </w:r>
      <w:r>
        <w:rPr>
          <w:rFonts w:ascii="Times New Roman" w:hAnsi="Times New Roman"/>
          <w:color w:val="000000"/>
          <w:lang w:val="en-US"/>
        </w:rPr>
        <w:t>F</w:t>
      </w:r>
      <w:r w:rsidRPr="005C777F">
        <w:rPr>
          <w:rFonts w:ascii="Times New Roman" w:hAnsi="Times New Roman"/>
          <w:color w:val="000000"/>
        </w:rPr>
        <w:t xml:space="preserve"> </w:t>
      </w:r>
      <w:r>
        <w:rPr>
          <w:rFonts w:ascii="Times New Roman" w:hAnsi="Times New Roman"/>
          <w:color w:val="000000"/>
        </w:rPr>
        <w:t>– денежный поток и NCF – чистый денежный поток (с учетом инвестиционных затрат).</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Pr>
          <w:rFonts w:ascii="Times New Roman" w:hAnsi="Times New Roman"/>
          <w:color w:val="000000"/>
        </w:rPr>
        <w:t>Таблица 8. – Исходные данные</w:t>
      </w:r>
    </w:p>
    <w:tbl>
      <w:tblPr>
        <w:tblW w:w="9657" w:type="dxa"/>
        <w:tblInd w:w="93" w:type="dxa"/>
        <w:tblLook w:val="04A0"/>
      </w:tblPr>
      <w:tblGrid>
        <w:gridCol w:w="1008"/>
        <w:gridCol w:w="1559"/>
        <w:gridCol w:w="1300"/>
        <w:gridCol w:w="1060"/>
        <w:gridCol w:w="1080"/>
        <w:gridCol w:w="1300"/>
        <w:gridCol w:w="1200"/>
        <w:gridCol w:w="1150"/>
      </w:tblGrid>
      <w:tr w:rsidR="00C75CDB" w:rsidRPr="00DB7B2B" w:rsidTr="00D12C4E">
        <w:trPr>
          <w:trHeight w:val="300"/>
        </w:trPr>
        <w:tc>
          <w:tcPr>
            <w:tcW w:w="10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5CDB" w:rsidRPr="00DB7B2B" w:rsidRDefault="00C75CDB" w:rsidP="00D12C4E">
            <w:pPr>
              <w:spacing w:after="0" w:line="240" w:lineRule="auto"/>
              <w:jc w:val="center"/>
              <w:rPr>
                <w:rFonts w:ascii="Times New Roman" w:eastAsia="Times New Roman" w:hAnsi="Times New Roman"/>
                <w:color w:val="000000"/>
                <w:lang w:eastAsia="ru-RU"/>
              </w:rPr>
            </w:pPr>
            <w:r w:rsidRPr="00DB7B2B">
              <w:rPr>
                <w:rFonts w:ascii="Times New Roman" w:eastAsia="Times New Roman" w:hAnsi="Times New Roman"/>
                <w:color w:val="000000"/>
                <w:lang w:eastAsia="ru-RU"/>
              </w:rPr>
              <w:t>Проект</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5CDB" w:rsidRPr="00DB7B2B" w:rsidRDefault="00C75CDB" w:rsidP="00D12C4E">
            <w:pPr>
              <w:spacing w:after="0" w:line="240" w:lineRule="auto"/>
              <w:jc w:val="center"/>
              <w:rPr>
                <w:rFonts w:ascii="Times New Roman" w:eastAsia="Times New Roman" w:hAnsi="Times New Roman"/>
                <w:color w:val="000000"/>
                <w:lang w:eastAsia="ru-RU"/>
              </w:rPr>
            </w:pPr>
            <w:r w:rsidRPr="00DB7B2B">
              <w:rPr>
                <w:rFonts w:ascii="Times New Roman" w:eastAsia="Times New Roman" w:hAnsi="Times New Roman"/>
                <w:bCs/>
                <w:color w:val="000000"/>
                <w:lang w:eastAsia="ru-RU"/>
              </w:rPr>
              <w:t>Исходные инвестиции</w:t>
            </w:r>
          </w:p>
        </w:tc>
        <w:tc>
          <w:tcPr>
            <w:tcW w:w="4740" w:type="dxa"/>
            <w:gridSpan w:val="4"/>
            <w:tcBorders>
              <w:top w:val="single" w:sz="4" w:space="0" w:color="auto"/>
              <w:left w:val="nil"/>
              <w:bottom w:val="single" w:sz="4" w:space="0" w:color="auto"/>
              <w:right w:val="single" w:sz="4" w:space="0" w:color="auto"/>
            </w:tcBorders>
            <w:shd w:val="clear" w:color="000000" w:fill="FFFFFF"/>
            <w:vAlign w:val="center"/>
            <w:hideMark/>
          </w:tcPr>
          <w:p w:rsidR="00C75CDB" w:rsidRPr="00DB7B2B" w:rsidRDefault="00C75CDB" w:rsidP="00D12C4E">
            <w:pPr>
              <w:spacing w:after="0" w:line="240" w:lineRule="auto"/>
              <w:jc w:val="center"/>
              <w:rPr>
                <w:rFonts w:ascii="Times New Roman" w:eastAsia="Times New Roman" w:hAnsi="Times New Roman"/>
                <w:color w:val="000000"/>
                <w:lang w:eastAsia="ru-RU"/>
              </w:rPr>
            </w:pPr>
            <w:r w:rsidRPr="00DB7B2B">
              <w:rPr>
                <w:rFonts w:ascii="Times New Roman" w:eastAsia="Times New Roman" w:hAnsi="Times New Roman"/>
                <w:bCs/>
                <w:color w:val="000000"/>
                <w:lang w:eastAsia="ru-RU"/>
              </w:rPr>
              <w:t>Чистый денежный поток в t</w:t>
            </w:r>
            <w:r w:rsidRPr="00DB7B2B">
              <w:rPr>
                <w:rFonts w:ascii="Times New Roman" w:eastAsia="Times New Roman" w:hAnsi="Times New Roman"/>
                <w:i/>
                <w:iCs/>
                <w:color w:val="000000"/>
                <w:lang w:eastAsia="ru-RU"/>
              </w:rPr>
              <w:t xml:space="preserve"> </w:t>
            </w:r>
            <w:r w:rsidRPr="00DB7B2B">
              <w:rPr>
                <w:rFonts w:ascii="Times New Roman" w:eastAsia="Times New Roman" w:hAnsi="Times New Roman"/>
                <w:color w:val="000000"/>
                <w:lang w:eastAsia="ru-RU"/>
              </w:rPr>
              <w:t xml:space="preserve">году, млн р.               </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5CDB" w:rsidRPr="00DB7B2B" w:rsidRDefault="00C75CDB" w:rsidP="00D12C4E">
            <w:pPr>
              <w:spacing w:after="0" w:line="240" w:lineRule="auto"/>
              <w:jc w:val="center"/>
              <w:rPr>
                <w:rFonts w:ascii="Times New Roman" w:eastAsia="Times New Roman" w:hAnsi="Times New Roman"/>
                <w:color w:val="000000"/>
                <w:lang w:eastAsia="ru-RU"/>
              </w:rPr>
            </w:pPr>
            <w:r w:rsidRPr="00DB7B2B">
              <w:rPr>
                <w:rFonts w:ascii="Times New Roman" w:eastAsia="Times New Roman" w:hAnsi="Times New Roman"/>
                <w:color w:val="000000"/>
                <w:lang w:eastAsia="ru-RU"/>
              </w:rPr>
              <w:t>CF</w:t>
            </w:r>
          </w:p>
        </w:tc>
        <w:tc>
          <w:tcPr>
            <w:tcW w:w="11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5CDB" w:rsidRPr="00DB7B2B" w:rsidRDefault="00C75CDB" w:rsidP="00D12C4E">
            <w:pPr>
              <w:spacing w:after="0" w:line="240" w:lineRule="auto"/>
              <w:jc w:val="center"/>
              <w:rPr>
                <w:rFonts w:ascii="Times New Roman" w:eastAsia="Times New Roman" w:hAnsi="Times New Roman"/>
                <w:color w:val="000000"/>
                <w:lang w:eastAsia="ru-RU"/>
              </w:rPr>
            </w:pPr>
            <w:r w:rsidRPr="00DB7B2B">
              <w:rPr>
                <w:rFonts w:ascii="Times New Roman" w:eastAsia="Times New Roman" w:hAnsi="Times New Roman"/>
                <w:color w:val="000000"/>
                <w:lang w:eastAsia="ru-RU"/>
              </w:rPr>
              <w:t>NCF</w:t>
            </w:r>
          </w:p>
        </w:tc>
      </w:tr>
      <w:tr w:rsidR="00C75CDB" w:rsidRPr="00DB7B2B" w:rsidTr="00D12C4E">
        <w:trPr>
          <w:trHeight w:val="30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C75CDB" w:rsidRPr="00DB7B2B" w:rsidRDefault="00C75CDB" w:rsidP="00D12C4E">
            <w:pPr>
              <w:spacing w:after="0" w:line="240" w:lineRule="auto"/>
              <w:rPr>
                <w:rFonts w:ascii="Times New Roman" w:eastAsia="Times New Roman" w:hAnsi="Times New Roman"/>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75CDB" w:rsidRPr="00DB7B2B" w:rsidRDefault="00C75CDB" w:rsidP="00D12C4E">
            <w:pPr>
              <w:spacing w:after="0" w:line="240" w:lineRule="auto"/>
              <w:rPr>
                <w:rFonts w:ascii="Times New Roman" w:eastAsia="Times New Roman" w:hAnsi="Times New Roman"/>
                <w:color w:val="000000"/>
                <w:lang w:eastAsia="ru-RU"/>
              </w:rPr>
            </w:pPr>
          </w:p>
        </w:tc>
        <w:tc>
          <w:tcPr>
            <w:tcW w:w="1300" w:type="dxa"/>
            <w:tcBorders>
              <w:top w:val="nil"/>
              <w:left w:val="nil"/>
              <w:bottom w:val="single" w:sz="4" w:space="0" w:color="auto"/>
              <w:right w:val="single" w:sz="4" w:space="0" w:color="auto"/>
            </w:tcBorders>
            <w:shd w:val="clear" w:color="000000" w:fill="FFFFFF"/>
            <w:vAlign w:val="center"/>
            <w:hideMark/>
          </w:tcPr>
          <w:p w:rsidR="00C75CDB" w:rsidRPr="00DB7B2B" w:rsidRDefault="00C75CDB" w:rsidP="00D12C4E">
            <w:pPr>
              <w:spacing w:after="0" w:line="240" w:lineRule="auto"/>
              <w:jc w:val="center"/>
              <w:rPr>
                <w:rFonts w:ascii="Times New Roman" w:eastAsia="Times New Roman" w:hAnsi="Times New Roman"/>
                <w:color w:val="000000"/>
                <w:lang w:eastAsia="ru-RU"/>
              </w:rPr>
            </w:pPr>
            <w:r w:rsidRPr="00DB7B2B">
              <w:rPr>
                <w:rFonts w:ascii="Times New Roman" w:eastAsia="Times New Roman" w:hAnsi="Times New Roman"/>
                <w:color w:val="000000"/>
                <w:lang w:val="en-US" w:eastAsia="ru-RU"/>
              </w:rPr>
              <w:t>t-1</w:t>
            </w:r>
          </w:p>
        </w:tc>
        <w:tc>
          <w:tcPr>
            <w:tcW w:w="1060" w:type="dxa"/>
            <w:tcBorders>
              <w:top w:val="nil"/>
              <w:left w:val="nil"/>
              <w:bottom w:val="single" w:sz="4" w:space="0" w:color="auto"/>
              <w:right w:val="single" w:sz="4" w:space="0" w:color="auto"/>
            </w:tcBorders>
            <w:shd w:val="clear" w:color="000000" w:fill="FFFFFF"/>
            <w:vAlign w:val="center"/>
            <w:hideMark/>
          </w:tcPr>
          <w:p w:rsidR="00C75CDB" w:rsidRPr="00DB7B2B" w:rsidRDefault="00C75CDB" w:rsidP="00D12C4E">
            <w:pPr>
              <w:spacing w:after="0" w:line="240" w:lineRule="auto"/>
              <w:jc w:val="center"/>
              <w:rPr>
                <w:rFonts w:ascii="Times New Roman" w:eastAsia="Times New Roman" w:hAnsi="Times New Roman"/>
                <w:color w:val="000000"/>
                <w:lang w:eastAsia="ru-RU"/>
              </w:rPr>
            </w:pPr>
            <w:r w:rsidRPr="00DB7B2B">
              <w:rPr>
                <w:rFonts w:ascii="Times New Roman" w:eastAsia="Times New Roman" w:hAnsi="Times New Roman"/>
                <w:color w:val="000000"/>
                <w:lang w:val="en-US" w:eastAsia="ru-RU"/>
              </w:rPr>
              <w:t>t-2</w:t>
            </w:r>
          </w:p>
        </w:tc>
        <w:tc>
          <w:tcPr>
            <w:tcW w:w="1080" w:type="dxa"/>
            <w:tcBorders>
              <w:top w:val="nil"/>
              <w:left w:val="nil"/>
              <w:bottom w:val="single" w:sz="4" w:space="0" w:color="auto"/>
              <w:right w:val="single" w:sz="4" w:space="0" w:color="auto"/>
            </w:tcBorders>
            <w:shd w:val="clear" w:color="000000" w:fill="FFFFFF"/>
            <w:vAlign w:val="center"/>
            <w:hideMark/>
          </w:tcPr>
          <w:p w:rsidR="00C75CDB" w:rsidRPr="00DB7B2B" w:rsidRDefault="00C75CDB" w:rsidP="00D12C4E">
            <w:pPr>
              <w:spacing w:after="0" w:line="240" w:lineRule="auto"/>
              <w:jc w:val="center"/>
              <w:rPr>
                <w:rFonts w:ascii="Times New Roman" w:eastAsia="Times New Roman" w:hAnsi="Times New Roman"/>
                <w:color w:val="000000"/>
                <w:lang w:eastAsia="ru-RU"/>
              </w:rPr>
            </w:pPr>
            <w:r w:rsidRPr="00DB7B2B">
              <w:rPr>
                <w:rFonts w:ascii="Times New Roman" w:eastAsia="Times New Roman" w:hAnsi="Times New Roman"/>
                <w:color w:val="000000"/>
                <w:lang w:val="en-US" w:eastAsia="ru-RU"/>
              </w:rPr>
              <w:t>t-3</w:t>
            </w:r>
          </w:p>
        </w:tc>
        <w:tc>
          <w:tcPr>
            <w:tcW w:w="1300" w:type="dxa"/>
            <w:tcBorders>
              <w:top w:val="nil"/>
              <w:left w:val="nil"/>
              <w:bottom w:val="single" w:sz="4" w:space="0" w:color="auto"/>
              <w:right w:val="single" w:sz="4" w:space="0" w:color="auto"/>
            </w:tcBorders>
            <w:shd w:val="clear" w:color="000000" w:fill="FFFFFF"/>
            <w:vAlign w:val="center"/>
            <w:hideMark/>
          </w:tcPr>
          <w:p w:rsidR="00C75CDB" w:rsidRPr="00DB7B2B" w:rsidRDefault="00C75CDB" w:rsidP="00D12C4E">
            <w:pPr>
              <w:spacing w:after="0" w:line="240" w:lineRule="auto"/>
              <w:jc w:val="center"/>
              <w:rPr>
                <w:rFonts w:ascii="Times New Roman" w:eastAsia="Times New Roman" w:hAnsi="Times New Roman"/>
                <w:color w:val="000000"/>
                <w:lang w:eastAsia="ru-RU"/>
              </w:rPr>
            </w:pPr>
            <w:r w:rsidRPr="00DB7B2B">
              <w:rPr>
                <w:rFonts w:ascii="Times New Roman" w:eastAsia="Times New Roman" w:hAnsi="Times New Roman"/>
                <w:color w:val="000000"/>
                <w:lang w:val="en-US" w:eastAsia="ru-RU"/>
              </w:rPr>
              <w:t>t-4</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C75CDB" w:rsidRPr="00DB7B2B" w:rsidRDefault="00C75CDB" w:rsidP="00D12C4E">
            <w:pPr>
              <w:spacing w:after="0" w:line="240" w:lineRule="auto"/>
              <w:rPr>
                <w:rFonts w:ascii="Times New Roman" w:eastAsia="Times New Roman" w:hAnsi="Times New Roman"/>
                <w:color w:val="000000"/>
                <w:lang w:eastAsia="ru-RU"/>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C75CDB" w:rsidRPr="00DB7B2B" w:rsidRDefault="00C75CDB" w:rsidP="00D12C4E">
            <w:pPr>
              <w:spacing w:after="0" w:line="240" w:lineRule="auto"/>
              <w:rPr>
                <w:rFonts w:ascii="Times New Roman" w:eastAsia="Times New Roman" w:hAnsi="Times New Roman"/>
                <w:color w:val="000000"/>
                <w:lang w:eastAsia="ru-RU"/>
              </w:rPr>
            </w:pPr>
          </w:p>
        </w:tc>
      </w:tr>
      <w:tr w:rsidR="00C75CDB" w:rsidRPr="00DB7B2B" w:rsidTr="00D12C4E">
        <w:trPr>
          <w:trHeight w:val="300"/>
        </w:trPr>
        <w:tc>
          <w:tcPr>
            <w:tcW w:w="1008" w:type="dxa"/>
            <w:tcBorders>
              <w:top w:val="nil"/>
              <w:left w:val="single" w:sz="4" w:space="0" w:color="auto"/>
              <w:bottom w:val="single" w:sz="4" w:space="0" w:color="auto"/>
              <w:right w:val="single" w:sz="4" w:space="0" w:color="auto"/>
            </w:tcBorders>
            <w:shd w:val="clear" w:color="000000" w:fill="FFFFFF"/>
            <w:hideMark/>
          </w:tcPr>
          <w:p w:rsidR="00C75CDB" w:rsidRPr="00DB7B2B" w:rsidRDefault="00C75CDB" w:rsidP="00D12C4E">
            <w:pPr>
              <w:spacing w:after="0" w:line="240" w:lineRule="auto"/>
              <w:rPr>
                <w:rFonts w:ascii="Times New Roman" w:eastAsia="Times New Roman" w:hAnsi="Times New Roman"/>
                <w:color w:val="000000"/>
                <w:lang w:eastAsia="ru-RU"/>
              </w:rPr>
            </w:pPr>
            <w:r w:rsidRPr="00DB7B2B">
              <w:rPr>
                <w:rFonts w:ascii="Times New Roman" w:eastAsia="Times New Roman" w:hAnsi="Times New Roman"/>
                <w:color w:val="000000"/>
                <w:lang w:eastAsia="ru-RU"/>
              </w:rPr>
              <w:t>А</w:t>
            </w:r>
          </w:p>
        </w:tc>
        <w:tc>
          <w:tcPr>
            <w:tcW w:w="1559" w:type="dxa"/>
            <w:tcBorders>
              <w:top w:val="nil"/>
              <w:left w:val="nil"/>
              <w:bottom w:val="single" w:sz="4" w:space="0" w:color="auto"/>
              <w:right w:val="single" w:sz="4" w:space="0" w:color="auto"/>
            </w:tcBorders>
            <w:shd w:val="clear" w:color="000000" w:fill="FFFFFF"/>
            <w:hideMark/>
          </w:tcPr>
          <w:p w:rsidR="00C75CDB" w:rsidRPr="00DB7B2B" w:rsidRDefault="00C75CDB" w:rsidP="00D12C4E">
            <w:pPr>
              <w:spacing w:after="0" w:line="240" w:lineRule="auto"/>
              <w:jc w:val="center"/>
              <w:rPr>
                <w:rFonts w:ascii="Times New Roman" w:eastAsia="Times New Roman" w:hAnsi="Times New Roman"/>
                <w:color w:val="000000"/>
                <w:lang w:eastAsia="ru-RU"/>
              </w:rPr>
            </w:pPr>
            <w:r w:rsidRPr="00DB7B2B">
              <w:rPr>
                <w:rFonts w:ascii="Times New Roman" w:eastAsia="Times New Roman" w:hAnsi="Times New Roman"/>
                <w:color w:val="000000"/>
                <w:lang w:val="en-US" w:eastAsia="ru-RU"/>
              </w:rPr>
              <w:t>- 699 934</w:t>
            </w:r>
          </w:p>
        </w:tc>
        <w:tc>
          <w:tcPr>
            <w:tcW w:w="1300" w:type="dxa"/>
            <w:tcBorders>
              <w:top w:val="nil"/>
              <w:left w:val="nil"/>
              <w:bottom w:val="single" w:sz="4" w:space="0" w:color="auto"/>
              <w:right w:val="single" w:sz="4" w:space="0" w:color="auto"/>
            </w:tcBorders>
            <w:shd w:val="clear" w:color="000000" w:fill="FFFFFF"/>
            <w:hideMark/>
          </w:tcPr>
          <w:p w:rsidR="00C75CDB" w:rsidRPr="00DB7B2B" w:rsidRDefault="00C75CDB" w:rsidP="00D12C4E">
            <w:pPr>
              <w:spacing w:after="0" w:line="240" w:lineRule="auto"/>
              <w:jc w:val="center"/>
              <w:rPr>
                <w:rFonts w:ascii="Times New Roman" w:eastAsia="Times New Roman" w:hAnsi="Times New Roman"/>
                <w:color w:val="000000"/>
                <w:lang w:eastAsia="ru-RU"/>
              </w:rPr>
            </w:pPr>
            <w:r w:rsidRPr="00DB7B2B">
              <w:rPr>
                <w:rFonts w:ascii="Times New Roman" w:eastAsia="Times New Roman" w:hAnsi="Times New Roman"/>
                <w:color w:val="000000"/>
                <w:lang w:val="en-US" w:eastAsia="ru-RU"/>
              </w:rPr>
              <w:t>255 272</w:t>
            </w:r>
          </w:p>
        </w:tc>
        <w:tc>
          <w:tcPr>
            <w:tcW w:w="1060" w:type="dxa"/>
            <w:tcBorders>
              <w:top w:val="nil"/>
              <w:left w:val="nil"/>
              <w:bottom w:val="single" w:sz="4" w:space="0" w:color="auto"/>
              <w:right w:val="single" w:sz="4" w:space="0" w:color="auto"/>
            </w:tcBorders>
            <w:shd w:val="clear" w:color="000000" w:fill="FFFFFF"/>
            <w:hideMark/>
          </w:tcPr>
          <w:p w:rsidR="00C75CDB" w:rsidRPr="00DB7B2B" w:rsidRDefault="00C75CDB" w:rsidP="00D12C4E">
            <w:pPr>
              <w:spacing w:after="0" w:line="240" w:lineRule="auto"/>
              <w:jc w:val="center"/>
              <w:rPr>
                <w:rFonts w:ascii="Times New Roman" w:eastAsia="Times New Roman" w:hAnsi="Times New Roman"/>
                <w:color w:val="000000"/>
                <w:lang w:eastAsia="ru-RU"/>
              </w:rPr>
            </w:pPr>
            <w:r w:rsidRPr="00DB7B2B">
              <w:rPr>
                <w:rFonts w:ascii="Times New Roman" w:eastAsia="Times New Roman" w:hAnsi="Times New Roman"/>
                <w:color w:val="000000"/>
                <w:lang w:val="en-US" w:eastAsia="ru-RU"/>
              </w:rPr>
              <w:t>255 272</w:t>
            </w:r>
          </w:p>
        </w:tc>
        <w:tc>
          <w:tcPr>
            <w:tcW w:w="1080" w:type="dxa"/>
            <w:tcBorders>
              <w:top w:val="nil"/>
              <w:left w:val="nil"/>
              <w:bottom w:val="single" w:sz="4" w:space="0" w:color="auto"/>
              <w:right w:val="single" w:sz="4" w:space="0" w:color="auto"/>
            </w:tcBorders>
            <w:shd w:val="clear" w:color="000000" w:fill="FFFFFF"/>
            <w:hideMark/>
          </w:tcPr>
          <w:p w:rsidR="00C75CDB" w:rsidRPr="00DB7B2B" w:rsidRDefault="00C75CDB" w:rsidP="00D12C4E">
            <w:pPr>
              <w:spacing w:after="0" w:line="240" w:lineRule="auto"/>
              <w:jc w:val="center"/>
              <w:rPr>
                <w:rFonts w:ascii="Times New Roman" w:eastAsia="Times New Roman" w:hAnsi="Times New Roman"/>
                <w:color w:val="000000"/>
                <w:lang w:eastAsia="ru-RU"/>
              </w:rPr>
            </w:pPr>
            <w:r w:rsidRPr="00DB7B2B">
              <w:rPr>
                <w:rFonts w:ascii="Times New Roman" w:eastAsia="Times New Roman" w:hAnsi="Times New Roman"/>
                <w:color w:val="000000"/>
                <w:lang w:val="en-US" w:eastAsia="ru-RU"/>
              </w:rPr>
              <w:t>255 272</w:t>
            </w:r>
          </w:p>
        </w:tc>
        <w:tc>
          <w:tcPr>
            <w:tcW w:w="1300" w:type="dxa"/>
            <w:tcBorders>
              <w:top w:val="nil"/>
              <w:left w:val="nil"/>
              <w:bottom w:val="single" w:sz="4" w:space="0" w:color="auto"/>
              <w:right w:val="single" w:sz="4" w:space="0" w:color="auto"/>
            </w:tcBorders>
            <w:shd w:val="clear" w:color="000000" w:fill="FFFFFF"/>
            <w:hideMark/>
          </w:tcPr>
          <w:p w:rsidR="00C75CDB" w:rsidRPr="00DB7B2B" w:rsidRDefault="00C75CDB" w:rsidP="00D12C4E">
            <w:pPr>
              <w:spacing w:after="0" w:line="240" w:lineRule="auto"/>
              <w:jc w:val="center"/>
              <w:rPr>
                <w:rFonts w:ascii="Times New Roman" w:eastAsia="Times New Roman" w:hAnsi="Times New Roman"/>
                <w:color w:val="000000"/>
                <w:lang w:eastAsia="ru-RU"/>
              </w:rPr>
            </w:pPr>
            <w:r w:rsidRPr="00DB7B2B">
              <w:rPr>
                <w:rFonts w:ascii="Times New Roman" w:eastAsia="Times New Roman" w:hAnsi="Times New Roman"/>
                <w:color w:val="000000"/>
                <w:lang w:val="en-US" w:eastAsia="ru-RU"/>
              </w:rPr>
              <w:t>255 272</w:t>
            </w:r>
          </w:p>
        </w:tc>
        <w:tc>
          <w:tcPr>
            <w:tcW w:w="1200" w:type="dxa"/>
            <w:tcBorders>
              <w:top w:val="nil"/>
              <w:left w:val="nil"/>
              <w:bottom w:val="single" w:sz="4" w:space="0" w:color="auto"/>
              <w:right w:val="single" w:sz="4" w:space="0" w:color="auto"/>
            </w:tcBorders>
            <w:shd w:val="clear" w:color="000000" w:fill="FFFFFF"/>
            <w:hideMark/>
          </w:tcPr>
          <w:p w:rsidR="00C75CDB" w:rsidRPr="00DB7B2B" w:rsidRDefault="00C75CDB" w:rsidP="00D12C4E">
            <w:pPr>
              <w:spacing w:after="0" w:line="240" w:lineRule="auto"/>
              <w:jc w:val="center"/>
              <w:rPr>
                <w:rFonts w:ascii="Times New Roman" w:eastAsia="Times New Roman" w:hAnsi="Times New Roman"/>
                <w:color w:val="000000"/>
                <w:lang w:eastAsia="ru-RU"/>
              </w:rPr>
            </w:pPr>
            <w:r w:rsidRPr="00DB7B2B">
              <w:rPr>
                <w:rFonts w:ascii="Times New Roman" w:eastAsia="Times New Roman" w:hAnsi="Times New Roman"/>
                <w:color w:val="000000"/>
                <w:lang w:eastAsia="ru-RU"/>
              </w:rPr>
              <w:t>1 021 088</w:t>
            </w:r>
          </w:p>
        </w:tc>
        <w:tc>
          <w:tcPr>
            <w:tcW w:w="1150" w:type="dxa"/>
            <w:tcBorders>
              <w:top w:val="nil"/>
              <w:left w:val="nil"/>
              <w:bottom w:val="single" w:sz="4" w:space="0" w:color="auto"/>
              <w:right w:val="single" w:sz="4" w:space="0" w:color="auto"/>
            </w:tcBorders>
            <w:shd w:val="clear" w:color="000000" w:fill="FFFFFF"/>
            <w:hideMark/>
          </w:tcPr>
          <w:p w:rsidR="00C75CDB" w:rsidRPr="00DB7B2B" w:rsidRDefault="00C75CDB" w:rsidP="00D12C4E">
            <w:pPr>
              <w:spacing w:after="0" w:line="240" w:lineRule="auto"/>
              <w:jc w:val="center"/>
              <w:rPr>
                <w:rFonts w:ascii="Times New Roman" w:eastAsia="Times New Roman" w:hAnsi="Times New Roman"/>
                <w:color w:val="000000"/>
                <w:lang w:eastAsia="ru-RU"/>
              </w:rPr>
            </w:pPr>
            <w:r w:rsidRPr="00DB7B2B">
              <w:rPr>
                <w:rFonts w:ascii="Times New Roman" w:eastAsia="Times New Roman" w:hAnsi="Times New Roman"/>
                <w:color w:val="000000"/>
                <w:lang w:eastAsia="ru-RU"/>
              </w:rPr>
              <w:t>321 154</w:t>
            </w:r>
          </w:p>
        </w:tc>
      </w:tr>
      <w:tr w:rsidR="00C75CDB" w:rsidRPr="00DB7B2B" w:rsidTr="00D12C4E">
        <w:trPr>
          <w:trHeight w:val="300"/>
        </w:trPr>
        <w:tc>
          <w:tcPr>
            <w:tcW w:w="1008" w:type="dxa"/>
            <w:tcBorders>
              <w:top w:val="nil"/>
              <w:left w:val="single" w:sz="4" w:space="0" w:color="auto"/>
              <w:bottom w:val="single" w:sz="4" w:space="0" w:color="auto"/>
              <w:right w:val="single" w:sz="4" w:space="0" w:color="auto"/>
            </w:tcBorders>
            <w:shd w:val="clear" w:color="000000" w:fill="FFFFFF"/>
            <w:hideMark/>
          </w:tcPr>
          <w:p w:rsidR="00C75CDB" w:rsidRPr="00DB7B2B" w:rsidRDefault="00C75CDB" w:rsidP="00D12C4E">
            <w:pPr>
              <w:spacing w:after="0" w:line="240" w:lineRule="auto"/>
              <w:rPr>
                <w:rFonts w:ascii="Times New Roman" w:eastAsia="Times New Roman" w:hAnsi="Times New Roman"/>
                <w:color w:val="000000"/>
                <w:lang w:eastAsia="ru-RU"/>
              </w:rPr>
            </w:pPr>
            <w:r w:rsidRPr="00DB7B2B">
              <w:rPr>
                <w:rFonts w:ascii="Times New Roman" w:eastAsia="Times New Roman" w:hAnsi="Times New Roman"/>
                <w:color w:val="000000"/>
                <w:lang w:eastAsia="ru-RU"/>
              </w:rPr>
              <w:t>Б</w:t>
            </w:r>
          </w:p>
        </w:tc>
        <w:tc>
          <w:tcPr>
            <w:tcW w:w="1559" w:type="dxa"/>
            <w:tcBorders>
              <w:top w:val="nil"/>
              <w:left w:val="nil"/>
              <w:bottom w:val="single" w:sz="4" w:space="0" w:color="auto"/>
              <w:right w:val="single" w:sz="4" w:space="0" w:color="auto"/>
            </w:tcBorders>
            <w:shd w:val="clear" w:color="000000" w:fill="FFFFFF"/>
            <w:hideMark/>
          </w:tcPr>
          <w:p w:rsidR="00C75CDB" w:rsidRPr="00DB7B2B" w:rsidRDefault="00C75CDB" w:rsidP="00D12C4E">
            <w:pPr>
              <w:spacing w:after="0" w:line="240" w:lineRule="auto"/>
              <w:jc w:val="center"/>
              <w:rPr>
                <w:rFonts w:ascii="Times New Roman" w:eastAsia="Times New Roman" w:hAnsi="Times New Roman"/>
                <w:color w:val="000000"/>
                <w:lang w:eastAsia="ru-RU"/>
              </w:rPr>
            </w:pPr>
            <w:r w:rsidRPr="00DB7B2B">
              <w:rPr>
                <w:rFonts w:ascii="Times New Roman" w:eastAsia="Times New Roman" w:hAnsi="Times New Roman"/>
                <w:color w:val="000000"/>
                <w:lang w:val="en-US" w:eastAsia="ru-RU"/>
              </w:rPr>
              <w:t>- 99 934</w:t>
            </w:r>
          </w:p>
        </w:tc>
        <w:tc>
          <w:tcPr>
            <w:tcW w:w="1300" w:type="dxa"/>
            <w:tcBorders>
              <w:top w:val="nil"/>
              <w:left w:val="nil"/>
              <w:bottom w:val="single" w:sz="4" w:space="0" w:color="auto"/>
              <w:right w:val="single" w:sz="4" w:space="0" w:color="auto"/>
            </w:tcBorders>
            <w:shd w:val="clear" w:color="000000" w:fill="FFFFFF"/>
            <w:hideMark/>
          </w:tcPr>
          <w:p w:rsidR="00C75CDB" w:rsidRPr="00DB7B2B" w:rsidRDefault="00C75CDB" w:rsidP="00D12C4E">
            <w:pPr>
              <w:spacing w:after="0" w:line="240" w:lineRule="auto"/>
              <w:jc w:val="center"/>
              <w:rPr>
                <w:rFonts w:ascii="Times New Roman" w:eastAsia="Times New Roman" w:hAnsi="Times New Roman"/>
                <w:color w:val="000000"/>
                <w:lang w:eastAsia="ru-RU"/>
              </w:rPr>
            </w:pPr>
            <w:r w:rsidRPr="00DB7B2B">
              <w:rPr>
                <w:rFonts w:ascii="Times New Roman" w:eastAsia="Times New Roman" w:hAnsi="Times New Roman"/>
                <w:color w:val="000000"/>
                <w:lang w:val="en-US" w:eastAsia="ru-RU"/>
              </w:rPr>
              <w:t>40 899</w:t>
            </w:r>
          </w:p>
        </w:tc>
        <w:tc>
          <w:tcPr>
            <w:tcW w:w="1060" w:type="dxa"/>
            <w:tcBorders>
              <w:top w:val="nil"/>
              <w:left w:val="nil"/>
              <w:bottom w:val="single" w:sz="4" w:space="0" w:color="auto"/>
              <w:right w:val="single" w:sz="4" w:space="0" w:color="auto"/>
            </w:tcBorders>
            <w:shd w:val="clear" w:color="000000" w:fill="FFFFFF"/>
            <w:hideMark/>
          </w:tcPr>
          <w:p w:rsidR="00C75CDB" w:rsidRPr="00DB7B2B" w:rsidRDefault="00C75CDB" w:rsidP="00D12C4E">
            <w:pPr>
              <w:spacing w:after="0" w:line="240" w:lineRule="auto"/>
              <w:jc w:val="center"/>
              <w:rPr>
                <w:rFonts w:ascii="Times New Roman" w:eastAsia="Times New Roman" w:hAnsi="Times New Roman"/>
                <w:color w:val="000000"/>
                <w:lang w:eastAsia="ru-RU"/>
              </w:rPr>
            </w:pPr>
            <w:r w:rsidRPr="00DB7B2B">
              <w:rPr>
                <w:rFonts w:ascii="Times New Roman" w:eastAsia="Times New Roman" w:hAnsi="Times New Roman"/>
                <w:color w:val="000000"/>
                <w:lang w:val="en-US" w:eastAsia="ru-RU"/>
              </w:rPr>
              <w:t>40 899</w:t>
            </w:r>
          </w:p>
        </w:tc>
        <w:tc>
          <w:tcPr>
            <w:tcW w:w="1080" w:type="dxa"/>
            <w:tcBorders>
              <w:top w:val="nil"/>
              <w:left w:val="nil"/>
              <w:bottom w:val="single" w:sz="4" w:space="0" w:color="auto"/>
              <w:right w:val="single" w:sz="4" w:space="0" w:color="auto"/>
            </w:tcBorders>
            <w:shd w:val="clear" w:color="000000" w:fill="FFFFFF"/>
            <w:hideMark/>
          </w:tcPr>
          <w:p w:rsidR="00C75CDB" w:rsidRPr="00DB7B2B" w:rsidRDefault="00C75CDB" w:rsidP="00D12C4E">
            <w:pPr>
              <w:spacing w:after="0" w:line="240" w:lineRule="auto"/>
              <w:jc w:val="center"/>
              <w:rPr>
                <w:rFonts w:ascii="Times New Roman" w:eastAsia="Times New Roman" w:hAnsi="Times New Roman"/>
                <w:color w:val="000000"/>
                <w:lang w:eastAsia="ru-RU"/>
              </w:rPr>
            </w:pPr>
            <w:r w:rsidRPr="00DB7B2B">
              <w:rPr>
                <w:rFonts w:ascii="Times New Roman" w:eastAsia="Times New Roman" w:hAnsi="Times New Roman"/>
                <w:color w:val="000000"/>
                <w:lang w:val="en-US" w:eastAsia="ru-RU"/>
              </w:rPr>
              <w:t>40 899</w:t>
            </w:r>
          </w:p>
        </w:tc>
        <w:tc>
          <w:tcPr>
            <w:tcW w:w="1300" w:type="dxa"/>
            <w:tcBorders>
              <w:top w:val="nil"/>
              <w:left w:val="nil"/>
              <w:bottom w:val="single" w:sz="4" w:space="0" w:color="auto"/>
              <w:right w:val="single" w:sz="4" w:space="0" w:color="auto"/>
            </w:tcBorders>
            <w:shd w:val="clear" w:color="000000" w:fill="FFFFFF"/>
            <w:hideMark/>
          </w:tcPr>
          <w:p w:rsidR="00C75CDB" w:rsidRPr="00DB7B2B" w:rsidRDefault="00C75CDB" w:rsidP="00D12C4E">
            <w:pPr>
              <w:spacing w:after="0" w:line="240" w:lineRule="auto"/>
              <w:jc w:val="center"/>
              <w:rPr>
                <w:rFonts w:ascii="Times New Roman" w:eastAsia="Times New Roman" w:hAnsi="Times New Roman"/>
                <w:color w:val="000000"/>
                <w:lang w:eastAsia="ru-RU"/>
              </w:rPr>
            </w:pPr>
            <w:r w:rsidRPr="00DB7B2B">
              <w:rPr>
                <w:rFonts w:ascii="Times New Roman" w:eastAsia="Times New Roman" w:hAnsi="Times New Roman"/>
                <w:color w:val="000000"/>
                <w:lang w:val="en-US" w:eastAsia="ru-RU"/>
              </w:rPr>
              <w:t>40 899</w:t>
            </w:r>
          </w:p>
        </w:tc>
        <w:tc>
          <w:tcPr>
            <w:tcW w:w="1200" w:type="dxa"/>
            <w:tcBorders>
              <w:top w:val="nil"/>
              <w:left w:val="nil"/>
              <w:bottom w:val="single" w:sz="4" w:space="0" w:color="auto"/>
              <w:right w:val="single" w:sz="4" w:space="0" w:color="auto"/>
            </w:tcBorders>
            <w:shd w:val="clear" w:color="000000" w:fill="FFFFFF"/>
            <w:hideMark/>
          </w:tcPr>
          <w:p w:rsidR="00C75CDB" w:rsidRPr="00DB7B2B" w:rsidRDefault="00C75CDB" w:rsidP="00D12C4E">
            <w:pPr>
              <w:spacing w:after="0" w:line="240" w:lineRule="auto"/>
              <w:jc w:val="center"/>
              <w:rPr>
                <w:rFonts w:ascii="Times New Roman" w:eastAsia="Times New Roman" w:hAnsi="Times New Roman"/>
                <w:color w:val="000000"/>
                <w:lang w:eastAsia="ru-RU"/>
              </w:rPr>
            </w:pPr>
            <w:r w:rsidRPr="00DB7B2B">
              <w:rPr>
                <w:rFonts w:ascii="Times New Roman" w:eastAsia="Times New Roman" w:hAnsi="Times New Roman"/>
                <w:color w:val="000000"/>
                <w:lang w:eastAsia="ru-RU"/>
              </w:rPr>
              <w:t>163 596</w:t>
            </w:r>
          </w:p>
        </w:tc>
        <w:tc>
          <w:tcPr>
            <w:tcW w:w="1150" w:type="dxa"/>
            <w:tcBorders>
              <w:top w:val="nil"/>
              <w:left w:val="nil"/>
              <w:bottom w:val="single" w:sz="4" w:space="0" w:color="auto"/>
              <w:right w:val="single" w:sz="4" w:space="0" w:color="auto"/>
            </w:tcBorders>
            <w:shd w:val="clear" w:color="000000" w:fill="FFFFFF"/>
            <w:hideMark/>
          </w:tcPr>
          <w:p w:rsidR="00C75CDB" w:rsidRPr="00DB7B2B" w:rsidRDefault="00C75CDB" w:rsidP="00D12C4E">
            <w:pPr>
              <w:spacing w:after="0" w:line="240" w:lineRule="auto"/>
              <w:jc w:val="center"/>
              <w:rPr>
                <w:rFonts w:ascii="Times New Roman" w:eastAsia="Times New Roman" w:hAnsi="Times New Roman"/>
                <w:color w:val="000000"/>
                <w:lang w:eastAsia="ru-RU"/>
              </w:rPr>
            </w:pPr>
            <w:r w:rsidRPr="00DB7B2B">
              <w:rPr>
                <w:rFonts w:ascii="Times New Roman" w:eastAsia="Times New Roman" w:hAnsi="Times New Roman"/>
                <w:color w:val="000000"/>
                <w:lang w:eastAsia="ru-RU"/>
              </w:rPr>
              <w:t>63 662</w:t>
            </w:r>
          </w:p>
        </w:tc>
      </w:tr>
    </w:tbl>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Pr>
          <w:rFonts w:ascii="Times New Roman" w:hAnsi="Times New Roman"/>
          <w:color w:val="000000"/>
        </w:rPr>
        <w:t xml:space="preserve">Далее рассчитаем PV – текущую стоимость будущих денежных потоков и </w:t>
      </w:r>
      <w:r w:rsidRPr="003F06EC">
        <w:rPr>
          <w:rFonts w:ascii="Times New Roman" w:hAnsi="Times New Roman"/>
          <w:color w:val="000000"/>
        </w:rPr>
        <w:t>NPV</w:t>
      </w:r>
      <w:r>
        <w:rPr>
          <w:rFonts w:ascii="Times New Roman" w:hAnsi="Times New Roman"/>
          <w:color w:val="000000"/>
        </w:rPr>
        <w:t xml:space="preserve"> – чистую текущую стоимость (с учетом инвестиционных затрат) используя коэффициент дисконтирования. Полученные результаты представим в таблице 9.</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Pr>
          <w:rFonts w:ascii="Times New Roman" w:hAnsi="Times New Roman"/>
          <w:color w:val="000000"/>
        </w:rPr>
        <w:t>Таблица 9. –</w:t>
      </w:r>
      <w:r w:rsidRPr="00A20D3E">
        <w:rPr>
          <w:rFonts w:ascii="Times New Roman" w:hAnsi="Times New Roman"/>
          <w:color w:val="000000"/>
        </w:rPr>
        <w:t xml:space="preserve"> Расчет </w:t>
      </w:r>
      <w:r>
        <w:rPr>
          <w:rFonts w:ascii="Times New Roman" w:hAnsi="Times New Roman"/>
          <w:color w:val="000000"/>
        </w:rPr>
        <w:t xml:space="preserve">PV и </w:t>
      </w:r>
      <w:r w:rsidRPr="003F06EC">
        <w:rPr>
          <w:rFonts w:ascii="Times New Roman" w:hAnsi="Times New Roman"/>
          <w:color w:val="000000"/>
        </w:rPr>
        <w:t>NPV</w:t>
      </w:r>
      <w:r>
        <w:rPr>
          <w:rFonts w:ascii="Times New Roman" w:hAnsi="Times New Roman"/>
          <w:color w:val="000000"/>
        </w:rPr>
        <w:t>.</w:t>
      </w:r>
    </w:p>
    <w:tbl>
      <w:tblPr>
        <w:tblW w:w="9938" w:type="dxa"/>
        <w:tblInd w:w="93" w:type="dxa"/>
        <w:tblLayout w:type="fixed"/>
        <w:tblLook w:val="04A0"/>
      </w:tblPr>
      <w:tblGrid>
        <w:gridCol w:w="2100"/>
        <w:gridCol w:w="1459"/>
        <w:gridCol w:w="1134"/>
        <w:gridCol w:w="1060"/>
        <w:gridCol w:w="1080"/>
        <w:gridCol w:w="979"/>
        <w:gridCol w:w="992"/>
        <w:gridCol w:w="1134"/>
      </w:tblGrid>
      <w:tr w:rsidR="00C75CDB" w:rsidRPr="00C76209" w:rsidTr="00D12C4E">
        <w:trPr>
          <w:trHeight w:val="300"/>
        </w:trPr>
        <w:tc>
          <w:tcPr>
            <w:tcW w:w="21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color w:val="000000"/>
                <w:lang w:eastAsia="ru-RU"/>
              </w:rPr>
              <w:t>Проект</w:t>
            </w:r>
          </w:p>
        </w:tc>
        <w:tc>
          <w:tcPr>
            <w:tcW w:w="14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bCs/>
                <w:color w:val="000000"/>
                <w:lang w:eastAsia="ru-RU"/>
              </w:rPr>
              <w:t>Исходные инвестиции</w:t>
            </w:r>
          </w:p>
        </w:tc>
        <w:tc>
          <w:tcPr>
            <w:tcW w:w="4253" w:type="dxa"/>
            <w:gridSpan w:val="4"/>
            <w:tcBorders>
              <w:top w:val="single" w:sz="4" w:space="0" w:color="auto"/>
              <w:left w:val="nil"/>
              <w:bottom w:val="single" w:sz="4" w:space="0" w:color="auto"/>
              <w:right w:val="single" w:sz="4" w:space="0" w:color="auto"/>
            </w:tcBorders>
            <w:shd w:val="clear" w:color="000000" w:fill="FFFFFF"/>
            <w:vAlign w:val="center"/>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bCs/>
                <w:color w:val="000000"/>
                <w:lang w:eastAsia="ru-RU"/>
              </w:rPr>
              <w:t>Чистый денежный поток в t</w:t>
            </w:r>
            <w:r w:rsidRPr="00C76209">
              <w:rPr>
                <w:rFonts w:ascii="Times New Roman" w:eastAsia="Times New Roman" w:hAnsi="Times New Roman"/>
                <w:i/>
                <w:iCs/>
                <w:color w:val="000000"/>
                <w:lang w:eastAsia="ru-RU"/>
              </w:rPr>
              <w:t xml:space="preserve"> </w:t>
            </w:r>
            <w:r w:rsidRPr="00C76209">
              <w:rPr>
                <w:rFonts w:ascii="Times New Roman" w:eastAsia="Times New Roman" w:hAnsi="Times New Roman"/>
                <w:color w:val="000000"/>
                <w:lang w:eastAsia="ru-RU"/>
              </w:rPr>
              <w:t xml:space="preserve">году, млн р.               </w:t>
            </w:r>
          </w:p>
        </w:tc>
        <w:tc>
          <w:tcPr>
            <w:tcW w:w="992" w:type="dxa"/>
            <w:vMerge w:val="restart"/>
            <w:tcBorders>
              <w:top w:val="single" w:sz="4" w:space="0" w:color="auto"/>
              <w:left w:val="single" w:sz="4" w:space="0" w:color="auto"/>
              <w:right w:val="single" w:sz="4" w:space="0" w:color="auto"/>
            </w:tcBorders>
            <w:shd w:val="clear" w:color="000000" w:fill="FFFFFF"/>
            <w:vAlign w:val="center"/>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color w:val="000000"/>
                <w:lang w:eastAsia="ru-RU"/>
              </w:rPr>
              <w:t>PV, млн. р.</w:t>
            </w:r>
          </w:p>
        </w:tc>
        <w:tc>
          <w:tcPr>
            <w:tcW w:w="1134" w:type="dxa"/>
            <w:vMerge w:val="restart"/>
            <w:tcBorders>
              <w:top w:val="single" w:sz="4" w:space="0" w:color="auto"/>
              <w:left w:val="single" w:sz="4" w:space="0" w:color="auto"/>
              <w:right w:val="single" w:sz="4" w:space="0" w:color="auto"/>
            </w:tcBorders>
            <w:shd w:val="clear" w:color="000000" w:fill="FFFFFF"/>
            <w:vAlign w:val="center"/>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color w:val="000000"/>
                <w:lang w:eastAsia="ru-RU"/>
              </w:rPr>
              <w:t>NPV, млн. р.</w:t>
            </w:r>
          </w:p>
        </w:tc>
      </w:tr>
      <w:tr w:rsidR="00C75CDB" w:rsidRPr="00C76209" w:rsidTr="00D12C4E">
        <w:trPr>
          <w:trHeight w:val="300"/>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C75CDB" w:rsidRPr="00C76209" w:rsidRDefault="00C75CDB" w:rsidP="00D12C4E">
            <w:pPr>
              <w:spacing w:after="0" w:line="240" w:lineRule="auto"/>
              <w:rPr>
                <w:rFonts w:ascii="Times New Roman" w:eastAsia="Times New Roman" w:hAnsi="Times New Roman"/>
                <w:color w:val="00000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C75CDB" w:rsidRPr="00C76209" w:rsidRDefault="00C75CDB" w:rsidP="00D12C4E">
            <w:pPr>
              <w:spacing w:after="0" w:line="240" w:lineRule="auto"/>
              <w:rPr>
                <w:rFonts w:ascii="Times New Roman" w:eastAsia="Times New Roman" w:hAnsi="Times New Roman"/>
                <w:color w:val="000000"/>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color w:val="000000"/>
                <w:lang w:val="en-US" w:eastAsia="ru-RU"/>
              </w:rPr>
              <w:t>t-1</w:t>
            </w:r>
          </w:p>
        </w:tc>
        <w:tc>
          <w:tcPr>
            <w:tcW w:w="1060" w:type="dxa"/>
            <w:tcBorders>
              <w:top w:val="nil"/>
              <w:left w:val="nil"/>
              <w:bottom w:val="single" w:sz="4" w:space="0" w:color="auto"/>
              <w:right w:val="single" w:sz="4" w:space="0" w:color="auto"/>
            </w:tcBorders>
            <w:shd w:val="clear" w:color="000000" w:fill="FFFFFF"/>
            <w:vAlign w:val="center"/>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color w:val="000000"/>
                <w:lang w:val="en-US" w:eastAsia="ru-RU"/>
              </w:rPr>
              <w:t>t-2</w:t>
            </w:r>
          </w:p>
        </w:tc>
        <w:tc>
          <w:tcPr>
            <w:tcW w:w="1080" w:type="dxa"/>
            <w:tcBorders>
              <w:top w:val="nil"/>
              <w:left w:val="nil"/>
              <w:bottom w:val="single" w:sz="4" w:space="0" w:color="auto"/>
              <w:right w:val="single" w:sz="4" w:space="0" w:color="auto"/>
            </w:tcBorders>
            <w:shd w:val="clear" w:color="000000" w:fill="FFFFFF"/>
            <w:vAlign w:val="center"/>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color w:val="000000"/>
                <w:lang w:val="en-US" w:eastAsia="ru-RU"/>
              </w:rPr>
              <w:t>t-3</w:t>
            </w:r>
          </w:p>
        </w:tc>
        <w:tc>
          <w:tcPr>
            <w:tcW w:w="979" w:type="dxa"/>
            <w:tcBorders>
              <w:top w:val="nil"/>
              <w:left w:val="nil"/>
              <w:bottom w:val="single" w:sz="4" w:space="0" w:color="auto"/>
              <w:right w:val="single" w:sz="4" w:space="0" w:color="auto"/>
            </w:tcBorders>
            <w:shd w:val="clear" w:color="000000" w:fill="FFFFFF"/>
            <w:vAlign w:val="center"/>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color w:val="000000"/>
                <w:lang w:val="en-US" w:eastAsia="ru-RU"/>
              </w:rPr>
              <w:t>t-4</w:t>
            </w:r>
          </w:p>
        </w:tc>
        <w:tc>
          <w:tcPr>
            <w:tcW w:w="992" w:type="dxa"/>
            <w:vMerge/>
            <w:tcBorders>
              <w:left w:val="single" w:sz="4" w:space="0" w:color="auto"/>
              <w:right w:val="single" w:sz="4" w:space="0" w:color="auto"/>
            </w:tcBorders>
            <w:vAlign w:val="center"/>
            <w:hideMark/>
          </w:tcPr>
          <w:p w:rsidR="00C75CDB" w:rsidRPr="00C76209" w:rsidRDefault="00C75CDB" w:rsidP="00D12C4E">
            <w:pPr>
              <w:spacing w:after="0" w:line="240" w:lineRule="auto"/>
              <w:rPr>
                <w:rFonts w:ascii="Times New Roman" w:eastAsia="Times New Roman" w:hAnsi="Times New Roman"/>
                <w:color w:val="000000"/>
                <w:lang w:eastAsia="ru-RU"/>
              </w:rPr>
            </w:pPr>
          </w:p>
        </w:tc>
        <w:tc>
          <w:tcPr>
            <w:tcW w:w="1134" w:type="dxa"/>
            <w:vMerge/>
            <w:tcBorders>
              <w:left w:val="single" w:sz="4" w:space="0" w:color="auto"/>
              <w:right w:val="single" w:sz="4" w:space="0" w:color="auto"/>
            </w:tcBorders>
            <w:vAlign w:val="center"/>
            <w:hideMark/>
          </w:tcPr>
          <w:p w:rsidR="00C75CDB" w:rsidRPr="00C76209" w:rsidRDefault="00C75CDB" w:rsidP="00D12C4E">
            <w:pPr>
              <w:spacing w:after="0" w:line="240" w:lineRule="auto"/>
              <w:rPr>
                <w:rFonts w:ascii="Times New Roman" w:eastAsia="Times New Roman" w:hAnsi="Times New Roman"/>
                <w:color w:val="000000"/>
                <w:lang w:eastAsia="ru-RU"/>
              </w:rPr>
            </w:pPr>
          </w:p>
        </w:tc>
      </w:tr>
      <w:tr w:rsidR="00C75CDB" w:rsidRPr="00C76209" w:rsidTr="00D12C4E">
        <w:trPr>
          <w:trHeight w:val="900"/>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CDB" w:rsidRPr="00C76209" w:rsidRDefault="00C75CDB" w:rsidP="00D12C4E">
            <w:pPr>
              <w:spacing w:after="0" w:line="240" w:lineRule="auto"/>
              <w:rPr>
                <w:rFonts w:ascii="Times New Roman" w:eastAsia="Times New Roman" w:hAnsi="Times New Roman"/>
                <w:color w:val="000000"/>
                <w:lang w:eastAsia="ru-RU"/>
              </w:rPr>
            </w:pPr>
            <w:r w:rsidRPr="00C76209">
              <w:rPr>
                <w:rFonts w:ascii="Times New Roman" w:eastAsia="Times New Roman" w:hAnsi="Times New Roman"/>
                <w:color w:val="000000"/>
                <w:lang w:eastAsia="ru-RU"/>
              </w:rPr>
              <w:t xml:space="preserve">Дисконтированный множитель при ставке  </w:t>
            </w:r>
            <w:r w:rsidRPr="00C76209">
              <w:rPr>
                <w:rFonts w:ascii="Times New Roman" w:eastAsia="Times New Roman" w:hAnsi="Times New Roman"/>
                <w:b/>
                <w:bCs/>
                <w:color w:val="000000"/>
                <w:lang w:eastAsia="ru-RU"/>
              </w:rPr>
              <w:t>14%</w:t>
            </w:r>
          </w:p>
        </w:tc>
        <w:tc>
          <w:tcPr>
            <w:tcW w:w="1459" w:type="dxa"/>
            <w:tcBorders>
              <w:top w:val="single" w:sz="4" w:space="0" w:color="auto"/>
              <w:left w:val="nil"/>
              <w:bottom w:val="single" w:sz="4" w:space="0" w:color="auto"/>
              <w:right w:val="single" w:sz="4" w:space="0" w:color="auto"/>
            </w:tcBorders>
            <w:shd w:val="clear" w:color="000000" w:fill="FFFFFF"/>
            <w:vAlign w:val="center"/>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color w:val="000000"/>
                <w:lang w:eastAsia="ru-RU"/>
              </w:rPr>
              <w:t>1,0000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color w:val="000000"/>
                <w:lang w:eastAsia="ru-RU"/>
              </w:rPr>
              <w:t>0,8772</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color w:val="000000"/>
                <w:lang w:eastAsia="ru-RU"/>
              </w:rPr>
              <w:t>0,7695</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color w:val="000000"/>
                <w:lang w:eastAsia="ru-RU"/>
              </w:rPr>
              <w:t>0,6750</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color w:val="000000"/>
                <w:lang w:eastAsia="ru-RU"/>
              </w:rPr>
              <w:t>0,5921</w:t>
            </w:r>
          </w:p>
        </w:tc>
        <w:tc>
          <w:tcPr>
            <w:tcW w:w="992" w:type="dxa"/>
            <w:vMerge/>
            <w:tcBorders>
              <w:left w:val="single" w:sz="4" w:space="0" w:color="auto"/>
              <w:bottom w:val="single" w:sz="4" w:space="0" w:color="auto"/>
              <w:right w:val="single" w:sz="4" w:space="0" w:color="auto"/>
            </w:tcBorders>
            <w:shd w:val="clear" w:color="auto" w:fill="auto"/>
            <w:noWrap/>
            <w:vAlign w:val="center"/>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p>
        </w:tc>
        <w:tc>
          <w:tcPr>
            <w:tcW w:w="1134" w:type="dxa"/>
            <w:vMerge/>
            <w:tcBorders>
              <w:left w:val="single" w:sz="4" w:space="0" w:color="auto"/>
              <w:bottom w:val="single" w:sz="4" w:space="0" w:color="auto"/>
              <w:right w:val="single" w:sz="4" w:space="0" w:color="auto"/>
            </w:tcBorders>
            <w:shd w:val="clear" w:color="auto" w:fill="auto"/>
            <w:noWrap/>
            <w:vAlign w:val="center"/>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p>
        </w:tc>
      </w:tr>
      <w:tr w:rsidR="00C75CDB" w:rsidRPr="00C76209" w:rsidTr="00D12C4E">
        <w:trPr>
          <w:trHeight w:val="300"/>
        </w:trPr>
        <w:tc>
          <w:tcPr>
            <w:tcW w:w="2100" w:type="dxa"/>
            <w:tcBorders>
              <w:top w:val="nil"/>
              <w:left w:val="single" w:sz="4" w:space="0" w:color="auto"/>
              <w:bottom w:val="single" w:sz="4" w:space="0" w:color="auto"/>
              <w:right w:val="single" w:sz="4" w:space="0" w:color="auto"/>
            </w:tcBorders>
            <w:shd w:val="clear" w:color="000000" w:fill="FFFFFF"/>
            <w:hideMark/>
          </w:tcPr>
          <w:p w:rsidR="00C75CDB" w:rsidRPr="00C76209" w:rsidRDefault="00C75CDB" w:rsidP="00D12C4E">
            <w:pPr>
              <w:spacing w:after="0" w:line="240" w:lineRule="auto"/>
              <w:rPr>
                <w:rFonts w:ascii="Times New Roman" w:eastAsia="Times New Roman" w:hAnsi="Times New Roman"/>
                <w:color w:val="000000"/>
                <w:lang w:eastAsia="ru-RU"/>
              </w:rPr>
            </w:pPr>
            <w:r w:rsidRPr="00C76209">
              <w:rPr>
                <w:rFonts w:ascii="Times New Roman" w:eastAsia="Times New Roman" w:hAnsi="Times New Roman"/>
                <w:color w:val="000000"/>
                <w:lang w:eastAsia="ru-RU"/>
              </w:rPr>
              <w:t>А</w:t>
            </w:r>
          </w:p>
        </w:tc>
        <w:tc>
          <w:tcPr>
            <w:tcW w:w="1459" w:type="dxa"/>
            <w:tcBorders>
              <w:top w:val="nil"/>
              <w:left w:val="nil"/>
              <w:bottom w:val="single" w:sz="4" w:space="0" w:color="auto"/>
              <w:right w:val="single" w:sz="4" w:space="0" w:color="auto"/>
            </w:tcBorders>
            <w:shd w:val="clear" w:color="000000" w:fill="FFFFFF"/>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Pr="00C76209">
              <w:rPr>
                <w:rFonts w:ascii="Times New Roman" w:eastAsia="Times New Roman" w:hAnsi="Times New Roman"/>
                <w:color w:val="000000"/>
                <w:lang w:eastAsia="ru-RU"/>
              </w:rPr>
              <w:t>699 934</w:t>
            </w:r>
          </w:p>
        </w:tc>
        <w:tc>
          <w:tcPr>
            <w:tcW w:w="1134" w:type="dxa"/>
            <w:tcBorders>
              <w:top w:val="nil"/>
              <w:left w:val="nil"/>
              <w:bottom w:val="single" w:sz="4" w:space="0" w:color="auto"/>
              <w:right w:val="single" w:sz="4" w:space="0" w:color="auto"/>
            </w:tcBorders>
            <w:shd w:val="clear" w:color="000000" w:fill="FFFFFF"/>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color w:val="000000"/>
                <w:lang w:eastAsia="ru-RU"/>
              </w:rPr>
              <w:t>223 923</w:t>
            </w:r>
          </w:p>
        </w:tc>
        <w:tc>
          <w:tcPr>
            <w:tcW w:w="1060" w:type="dxa"/>
            <w:tcBorders>
              <w:top w:val="nil"/>
              <w:left w:val="nil"/>
              <w:bottom w:val="single" w:sz="4" w:space="0" w:color="auto"/>
              <w:right w:val="single" w:sz="4" w:space="0" w:color="auto"/>
            </w:tcBorders>
            <w:shd w:val="clear" w:color="000000" w:fill="FFFFFF"/>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color w:val="000000"/>
                <w:lang w:eastAsia="ru-RU"/>
              </w:rPr>
              <w:t>196 424</w:t>
            </w:r>
          </w:p>
        </w:tc>
        <w:tc>
          <w:tcPr>
            <w:tcW w:w="1080" w:type="dxa"/>
            <w:tcBorders>
              <w:top w:val="nil"/>
              <w:left w:val="nil"/>
              <w:bottom w:val="single" w:sz="4" w:space="0" w:color="auto"/>
              <w:right w:val="single" w:sz="4" w:space="0" w:color="auto"/>
            </w:tcBorders>
            <w:shd w:val="clear" w:color="000000" w:fill="FFFFFF"/>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color w:val="000000"/>
                <w:lang w:eastAsia="ru-RU"/>
              </w:rPr>
              <w:t>172 301</w:t>
            </w:r>
          </w:p>
        </w:tc>
        <w:tc>
          <w:tcPr>
            <w:tcW w:w="979" w:type="dxa"/>
            <w:tcBorders>
              <w:top w:val="nil"/>
              <w:left w:val="nil"/>
              <w:bottom w:val="single" w:sz="4" w:space="0" w:color="auto"/>
              <w:right w:val="single" w:sz="4" w:space="0" w:color="auto"/>
            </w:tcBorders>
            <w:shd w:val="clear" w:color="000000" w:fill="FFFFFF"/>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color w:val="000000"/>
                <w:lang w:eastAsia="ru-RU"/>
              </w:rPr>
              <w:t>151 142</w:t>
            </w:r>
          </w:p>
        </w:tc>
        <w:tc>
          <w:tcPr>
            <w:tcW w:w="992" w:type="dxa"/>
            <w:tcBorders>
              <w:top w:val="nil"/>
              <w:left w:val="nil"/>
              <w:bottom w:val="single" w:sz="4" w:space="0" w:color="auto"/>
              <w:right w:val="single" w:sz="4" w:space="0" w:color="auto"/>
            </w:tcBorders>
            <w:shd w:val="clear" w:color="000000" w:fill="FFFFFF"/>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color w:val="000000"/>
                <w:lang w:eastAsia="ru-RU"/>
              </w:rPr>
              <w:t>743 789</w:t>
            </w:r>
          </w:p>
        </w:tc>
        <w:tc>
          <w:tcPr>
            <w:tcW w:w="1134" w:type="dxa"/>
            <w:tcBorders>
              <w:top w:val="nil"/>
              <w:left w:val="nil"/>
              <w:bottom w:val="single" w:sz="4" w:space="0" w:color="auto"/>
              <w:right w:val="single" w:sz="4" w:space="0" w:color="auto"/>
            </w:tcBorders>
            <w:shd w:val="clear" w:color="000000" w:fill="FFFFFF"/>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color w:val="000000"/>
                <w:lang w:eastAsia="ru-RU"/>
              </w:rPr>
              <w:t>43 855</w:t>
            </w:r>
          </w:p>
        </w:tc>
      </w:tr>
      <w:tr w:rsidR="00C75CDB" w:rsidRPr="00C76209" w:rsidTr="00D12C4E">
        <w:trPr>
          <w:trHeight w:val="300"/>
        </w:trPr>
        <w:tc>
          <w:tcPr>
            <w:tcW w:w="2100" w:type="dxa"/>
            <w:tcBorders>
              <w:top w:val="nil"/>
              <w:left w:val="single" w:sz="4" w:space="0" w:color="auto"/>
              <w:bottom w:val="single" w:sz="4" w:space="0" w:color="auto"/>
              <w:right w:val="single" w:sz="4" w:space="0" w:color="auto"/>
            </w:tcBorders>
            <w:shd w:val="clear" w:color="000000" w:fill="FFFFFF"/>
            <w:hideMark/>
          </w:tcPr>
          <w:p w:rsidR="00C75CDB" w:rsidRPr="00C76209" w:rsidRDefault="00C75CDB" w:rsidP="00D12C4E">
            <w:pPr>
              <w:spacing w:after="0" w:line="240" w:lineRule="auto"/>
              <w:rPr>
                <w:rFonts w:ascii="Times New Roman" w:eastAsia="Times New Roman" w:hAnsi="Times New Roman"/>
                <w:color w:val="000000"/>
                <w:lang w:eastAsia="ru-RU"/>
              </w:rPr>
            </w:pPr>
            <w:r w:rsidRPr="00C76209">
              <w:rPr>
                <w:rFonts w:ascii="Times New Roman" w:eastAsia="Times New Roman" w:hAnsi="Times New Roman"/>
                <w:color w:val="000000"/>
                <w:lang w:eastAsia="ru-RU"/>
              </w:rPr>
              <w:t>Б</w:t>
            </w:r>
          </w:p>
        </w:tc>
        <w:tc>
          <w:tcPr>
            <w:tcW w:w="1459" w:type="dxa"/>
            <w:tcBorders>
              <w:top w:val="nil"/>
              <w:left w:val="nil"/>
              <w:bottom w:val="single" w:sz="4" w:space="0" w:color="auto"/>
              <w:right w:val="single" w:sz="4" w:space="0" w:color="auto"/>
            </w:tcBorders>
            <w:shd w:val="clear" w:color="000000" w:fill="FFFFFF"/>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color w:val="000000"/>
                <w:lang w:eastAsia="ru-RU"/>
              </w:rPr>
              <w:t>- 99 934</w:t>
            </w:r>
          </w:p>
        </w:tc>
        <w:tc>
          <w:tcPr>
            <w:tcW w:w="1134" w:type="dxa"/>
            <w:tcBorders>
              <w:top w:val="nil"/>
              <w:left w:val="nil"/>
              <w:bottom w:val="single" w:sz="4" w:space="0" w:color="auto"/>
              <w:right w:val="single" w:sz="4" w:space="0" w:color="auto"/>
            </w:tcBorders>
            <w:shd w:val="clear" w:color="000000" w:fill="FFFFFF"/>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color w:val="000000"/>
                <w:lang w:eastAsia="ru-RU"/>
              </w:rPr>
              <w:t>35 876</w:t>
            </w:r>
          </w:p>
        </w:tc>
        <w:tc>
          <w:tcPr>
            <w:tcW w:w="1060" w:type="dxa"/>
            <w:tcBorders>
              <w:top w:val="nil"/>
              <w:left w:val="nil"/>
              <w:bottom w:val="single" w:sz="4" w:space="0" w:color="auto"/>
              <w:right w:val="single" w:sz="4" w:space="0" w:color="auto"/>
            </w:tcBorders>
            <w:shd w:val="clear" w:color="000000" w:fill="FFFFFF"/>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color w:val="000000"/>
                <w:lang w:eastAsia="ru-RU"/>
              </w:rPr>
              <w:t>31 470</w:t>
            </w:r>
          </w:p>
        </w:tc>
        <w:tc>
          <w:tcPr>
            <w:tcW w:w="1080" w:type="dxa"/>
            <w:tcBorders>
              <w:top w:val="nil"/>
              <w:left w:val="nil"/>
              <w:bottom w:val="single" w:sz="4" w:space="0" w:color="auto"/>
              <w:right w:val="single" w:sz="4" w:space="0" w:color="auto"/>
            </w:tcBorders>
            <w:shd w:val="clear" w:color="000000" w:fill="FFFFFF"/>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color w:val="000000"/>
                <w:lang w:eastAsia="ru-RU"/>
              </w:rPr>
              <w:t>27 606</w:t>
            </w:r>
          </w:p>
        </w:tc>
        <w:tc>
          <w:tcPr>
            <w:tcW w:w="979" w:type="dxa"/>
            <w:tcBorders>
              <w:top w:val="nil"/>
              <w:left w:val="nil"/>
              <w:bottom w:val="single" w:sz="4" w:space="0" w:color="auto"/>
              <w:right w:val="single" w:sz="4" w:space="0" w:color="auto"/>
            </w:tcBorders>
            <w:shd w:val="clear" w:color="000000" w:fill="FFFFFF"/>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color w:val="000000"/>
                <w:lang w:eastAsia="ru-RU"/>
              </w:rPr>
              <w:t>24 215</w:t>
            </w:r>
          </w:p>
        </w:tc>
        <w:tc>
          <w:tcPr>
            <w:tcW w:w="992" w:type="dxa"/>
            <w:tcBorders>
              <w:top w:val="nil"/>
              <w:left w:val="nil"/>
              <w:bottom w:val="single" w:sz="4" w:space="0" w:color="auto"/>
              <w:right w:val="single" w:sz="4" w:space="0" w:color="auto"/>
            </w:tcBorders>
            <w:shd w:val="clear" w:color="000000" w:fill="FFFFFF"/>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color w:val="000000"/>
                <w:lang w:eastAsia="ru-RU"/>
              </w:rPr>
              <w:t>119 168</w:t>
            </w:r>
          </w:p>
        </w:tc>
        <w:tc>
          <w:tcPr>
            <w:tcW w:w="1134" w:type="dxa"/>
            <w:tcBorders>
              <w:top w:val="nil"/>
              <w:left w:val="nil"/>
              <w:bottom w:val="single" w:sz="4" w:space="0" w:color="auto"/>
              <w:right w:val="single" w:sz="4" w:space="0" w:color="auto"/>
            </w:tcBorders>
            <w:shd w:val="clear" w:color="000000" w:fill="FFFFFF"/>
            <w:hideMark/>
          </w:tcPr>
          <w:p w:rsidR="00C75CDB" w:rsidRPr="00C76209" w:rsidRDefault="00C75CDB" w:rsidP="00D12C4E">
            <w:pPr>
              <w:spacing w:after="0" w:line="240" w:lineRule="auto"/>
              <w:jc w:val="center"/>
              <w:rPr>
                <w:rFonts w:ascii="Times New Roman" w:eastAsia="Times New Roman" w:hAnsi="Times New Roman"/>
                <w:color w:val="000000"/>
                <w:lang w:eastAsia="ru-RU"/>
              </w:rPr>
            </w:pPr>
            <w:r w:rsidRPr="00C76209">
              <w:rPr>
                <w:rFonts w:ascii="Times New Roman" w:eastAsia="Times New Roman" w:hAnsi="Times New Roman"/>
                <w:color w:val="000000"/>
                <w:lang w:eastAsia="ru-RU"/>
              </w:rPr>
              <w:t>19 234</w:t>
            </w:r>
          </w:p>
        </w:tc>
      </w:tr>
    </w:tbl>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Pr>
          <w:rFonts w:ascii="Times New Roman" w:hAnsi="Times New Roman"/>
          <w:color w:val="000000"/>
        </w:rPr>
        <w:t>Используя приведенные выше формулы, рассчитаем требуемые для сравнения проектов показатели и представим их в таблице 10.</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Pr>
          <w:rFonts w:ascii="Times New Roman" w:hAnsi="Times New Roman"/>
          <w:color w:val="000000"/>
        </w:rPr>
        <w:t>Таблица 10. – Показатели проектов.</w:t>
      </w:r>
    </w:p>
    <w:tbl>
      <w:tblPr>
        <w:tblW w:w="5240" w:type="dxa"/>
        <w:tblInd w:w="93" w:type="dxa"/>
        <w:tblLook w:val="04A0"/>
      </w:tblPr>
      <w:tblGrid>
        <w:gridCol w:w="2100"/>
        <w:gridCol w:w="1840"/>
        <w:gridCol w:w="1300"/>
      </w:tblGrid>
      <w:tr w:rsidR="00C75CDB" w:rsidRPr="004F4F6E" w:rsidTr="00D12C4E">
        <w:trPr>
          <w:trHeight w:val="600"/>
        </w:trPr>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5CDB" w:rsidRPr="004F4F6E" w:rsidRDefault="00C75CDB" w:rsidP="00D12C4E">
            <w:pPr>
              <w:spacing w:after="0" w:line="240" w:lineRule="auto"/>
              <w:jc w:val="center"/>
              <w:rPr>
                <w:rFonts w:ascii="Times New Roman" w:eastAsia="Times New Roman" w:hAnsi="Times New Roman"/>
                <w:color w:val="000000"/>
                <w:lang w:eastAsia="ru-RU"/>
              </w:rPr>
            </w:pPr>
            <w:r w:rsidRPr="004F4F6E">
              <w:rPr>
                <w:rFonts w:ascii="Times New Roman" w:eastAsia="Times New Roman" w:hAnsi="Times New Roman"/>
                <w:color w:val="000000"/>
                <w:lang w:eastAsia="ru-RU"/>
              </w:rPr>
              <w:t>Показатели проекта</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C75CDB" w:rsidRPr="004F4F6E" w:rsidRDefault="00C75CDB" w:rsidP="00D12C4E">
            <w:pPr>
              <w:spacing w:after="0" w:line="240" w:lineRule="auto"/>
              <w:jc w:val="center"/>
              <w:rPr>
                <w:rFonts w:ascii="Times New Roman" w:eastAsia="Times New Roman" w:hAnsi="Times New Roman"/>
                <w:color w:val="000000"/>
                <w:lang w:eastAsia="ru-RU"/>
              </w:rPr>
            </w:pPr>
            <w:r w:rsidRPr="004F4F6E">
              <w:rPr>
                <w:rFonts w:ascii="Times New Roman" w:eastAsia="Times New Roman" w:hAnsi="Times New Roman"/>
                <w:bCs/>
                <w:color w:val="000000"/>
                <w:lang w:eastAsia="ru-RU"/>
              </w:rPr>
              <w:t>Проект А</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C75CDB" w:rsidRPr="004F4F6E" w:rsidRDefault="00C75CDB" w:rsidP="00D12C4E">
            <w:pPr>
              <w:spacing w:after="0" w:line="240" w:lineRule="auto"/>
              <w:jc w:val="center"/>
              <w:rPr>
                <w:rFonts w:ascii="Times New Roman" w:eastAsia="Times New Roman" w:hAnsi="Times New Roman"/>
                <w:color w:val="000000"/>
                <w:lang w:eastAsia="ru-RU"/>
              </w:rPr>
            </w:pPr>
            <w:r w:rsidRPr="004F4F6E">
              <w:rPr>
                <w:rFonts w:ascii="Times New Roman" w:eastAsia="Times New Roman" w:hAnsi="Times New Roman"/>
                <w:color w:val="000000"/>
                <w:lang w:eastAsia="ru-RU"/>
              </w:rPr>
              <w:t>Проект В</w:t>
            </w:r>
          </w:p>
        </w:tc>
      </w:tr>
      <w:tr w:rsidR="00C75CDB" w:rsidRPr="004F4F6E" w:rsidTr="00D12C4E">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75CDB" w:rsidRPr="004F4F6E" w:rsidRDefault="00C75CDB" w:rsidP="00D12C4E">
            <w:pPr>
              <w:spacing w:after="0" w:line="240" w:lineRule="auto"/>
              <w:rPr>
                <w:rFonts w:ascii="Times New Roman" w:eastAsia="Times New Roman" w:hAnsi="Times New Roman"/>
                <w:b/>
                <w:bCs/>
                <w:color w:val="000000"/>
                <w:lang w:eastAsia="ru-RU"/>
              </w:rPr>
            </w:pPr>
            <w:r w:rsidRPr="004F4F6E">
              <w:rPr>
                <w:rFonts w:ascii="Times New Roman" w:eastAsia="Times New Roman" w:hAnsi="Times New Roman"/>
                <w:b/>
                <w:bCs/>
                <w:color w:val="000000"/>
                <w:lang w:eastAsia="ru-RU"/>
              </w:rPr>
              <w:t>PV, млн. р.</w:t>
            </w:r>
          </w:p>
        </w:tc>
        <w:tc>
          <w:tcPr>
            <w:tcW w:w="1840" w:type="dxa"/>
            <w:tcBorders>
              <w:top w:val="nil"/>
              <w:left w:val="nil"/>
              <w:bottom w:val="single" w:sz="4" w:space="0" w:color="auto"/>
              <w:right w:val="single" w:sz="4" w:space="0" w:color="auto"/>
            </w:tcBorders>
            <w:shd w:val="clear" w:color="000000" w:fill="FFFFFF"/>
            <w:vAlign w:val="center"/>
            <w:hideMark/>
          </w:tcPr>
          <w:p w:rsidR="00C75CDB" w:rsidRPr="003305D6" w:rsidRDefault="00C75CDB" w:rsidP="00D12C4E">
            <w:pPr>
              <w:spacing w:after="0" w:line="240" w:lineRule="auto"/>
              <w:jc w:val="center"/>
              <w:rPr>
                <w:rFonts w:ascii="Times New Roman" w:eastAsia="Times New Roman" w:hAnsi="Times New Roman"/>
                <w:color w:val="000000"/>
                <w:lang w:eastAsia="ru-RU"/>
              </w:rPr>
            </w:pPr>
            <w:r w:rsidRPr="003305D6">
              <w:rPr>
                <w:rFonts w:ascii="Times New Roman" w:eastAsia="Times New Roman" w:hAnsi="Times New Roman"/>
                <w:color w:val="000000"/>
                <w:lang w:eastAsia="ru-RU"/>
              </w:rPr>
              <w:t>743 789</w:t>
            </w:r>
          </w:p>
        </w:tc>
        <w:tc>
          <w:tcPr>
            <w:tcW w:w="1300" w:type="dxa"/>
            <w:tcBorders>
              <w:top w:val="nil"/>
              <w:left w:val="nil"/>
              <w:bottom w:val="single" w:sz="4" w:space="0" w:color="auto"/>
              <w:right w:val="single" w:sz="4" w:space="0" w:color="auto"/>
            </w:tcBorders>
            <w:shd w:val="clear" w:color="000000" w:fill="FFFFFF"/>
            <w:vAlign w:val="center"/>
            <w:hideMark/>
          </w:tcPr>
          <w:p w:rsidR="00C75CDB" w:rsidRPr="003305D6" w:rsidRDefault="00C75CDB" w:rsidP="00D12C4E">
            <w:pPr>
              <w:spacing w:after="0" w:line="240" w:lineRule="auto"/>
              <w:jc w:val="center"/>
              <w:rPr>
                <w:rFonts w:ascii="Times New Roman" w:eastAsia="Times New Roman" w:hAnsi="Times New Roman"/>
                <w:color w:val="000000"/>
                <w:lang w:eastAsia="ru-RU"/>
              </w:rPr>
            </w:pPr>
            <w:r w:rsidRPr="003305D6">
              <w:rPr>
                <w:rFonts w:ascii="Times New Roman" w:eastAsia="Times New Roman" w:hAnsi="Times New Roman"/>
                <w:color w:val="000000"/>
                <w:lang w:eastAsia="ru-RU"/>
              </w:rPr>
              <w:t>119 168</w:t>
            </w:r>
          </w:p>
        </w:tc>
      </w:tr>
      <w:tr w:rsidR="00C75CDB" w:rsidRPr="004F4F6E" w:rsidTr="00D12C4E">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75CDB" w:rsidRPr="004F4F6E" w:rsidRDefault="00C75CDB" w:rsidP="00D12C4E">
            <w:pPr>
              <w:spacing w:after="0" w:line="240" w:lineRule="auto"/>
              <w:rPr>
                <w:rFonts w:ascii="Times New Roman" w:eastAsia="Times New Roman" w:hAnsi="Times New Roman"/>
                <w:b/>
                <w:bCs/>
                <w:color w:val="000000"/>
                <w:lang w:eastAsia="ru-RU"/>
              </w:rPr>
            </w:pPr>
            <w:r w:rsidRPr="004F4F6E">
              <w:rPr>
                <w:rFonts w:ascii="Times New Roman" w:eastAsia="Times New Roman" w:hAnsi="Times New Roman"/>
                <w:b/>
                <w:bCs/>
                <w:color w:val="000000"/>
                <w:lang w:eastAsia="ru-RU"/>
              </w:rPr>
              <w:t>NPV, млн. р.</w:t>
            </w:r>
          </w:p>
        </w:tc>
        <w:tc>
          <w:tcPr>
            <w:tcW w:w="1840" w:type="dxa"/>
            <w:tcBorders>
              <w:top w:val="nil"/>
              <w:left w:val="nil"/>
              <w:bottom w:val="single" w:sz="4" w:space="0" w:color="auto"/>
              <w:right w:val="single" w:sz="4" w:space="0" w:color="auto"/>
            </w:tcBorders>
            <w:shd w:val="clear" w:color="000000" w:fill="FFFFFF"/>
            <w:hideMark/>
          </w:tcPr>
          <w:p w:rsidR="00C75CDB" w:rsidRPr="003305D6" w:rsidRDefault="00C75CDB" w:rsidP="00D12C4E">
            <w:pPr>
              <w:spacing w:after="0" w:line="240" w:lineRule="auto"/>
              <w:jc w:val="center"/>
              <w:rPr>
                <w:rFonts w:ascii="Times New Roman" w:eastAsia="Times New Roman" w:hAnsi="Times New Roman"/>
                <w:color w:val="000000"/>
                <w:lang w:eastAsia="ru-RU"/>
              </w:rPr>
            </w:pPr>
            <w:r w:rsidRPr="003305D6">
              <w:rPr>
                <w:rFonts w:ascii="Times New Roman" w:eastAsia="Times New Roman" w:hAnsi="Times New Roman"/>
                <w:color w:val="000000"/>
                <w:lang w:eastAsia="ru-RU"/>
              </w:rPr>
              <w:t>43 855</w:t>
            </w:r>
          </w:p>
        </w:tc>
        <w:tc>
          <w:tcPr>
            <w:tcW w:w="1300" w:type="dxa"/>
            <w:tcBorders>
              <w:top w:val="nil"/>
              <w:left w:val="nil"/>
              <w:bottom w:val="single" w:sz="4" w:space="0" w:color="auto"/>
              <w:right w:val="single" w:sz="4" w:space="0" w:color="auto"/>
            </w:tcBorders>
            <w:shd w:val="clear" w:color="000000" w:fill="FFFFFF"/>
            <w:hideMark/>
          </w:tcPr>
          <w:p w:rsidR="00C75CDB" w:rsidRPr="003305D6" w:rsidRDefault="00C75CDB" w:rsidP="00D12C4E">
            <w:pPr>
              <w:spacing w:after="0" w:line="240" w:lineRule="auto"/>
              <w:jc w:val="center"/>
              <w:rPr>
                <w:rFonts w:ascii="Times New Roman" w:eastAsia="Times New Roman" w:hAnsi="Times New Roman"/>
                <w:color w:val="000000"/>
                <w:lang w:eastAsia="ru-RU"/>
              </w:rPr>
            </w:pPr>
            <w:r w:rsidRPr="003305D6">
              <w:rPr>
                <w:rFonts w:ascii="Times New Roman" w:eastAsia="Times New Roman" w:hAnsi="Times New Roman"/>
                <w:color w:val="000000"/>
                <w:lang w:eastAsia="ru-RU"/>
              </w:rPr>
              <w:t>19 234</w:t>
            </w:r>
          </w:p>
        </w:tc>
      </w:tr>
      <w:tr w:rsidR="00C75CDB" w:rsidRPr="004F4F6E" w:rsidTr="00D12C4E">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75CDB" w:rsidRPr="004F4F6E" w:rsidRDefault="00C75CDB" w:rsidP="00D12C4E">
            <w:pPr>
              <w:spacing w:after="0" w:line="240" w:lineRule="auto"/>
              <w:rPr>
                <w:rFonts w:ascii="Times New Roman" w:eastAsia="Times New Roman" w:hAnsi="Times New Roman"/>
                <w:b/>
                <w:bCs/>
                <w:color w:val="000000"/>
                <w:lang w:eastAsia="ru-RU"/>
              </w:rPr>
            </w:pPr>
            <w:r w:rsidRPr="004F4F6E">
              <w:rPr>
                <w:rFonts w:ascii="Times New Roman" w:eastAsia="Times New Roman" w:hAnsi="Times New Roman"/>
                <w:b/>
                <w:bCs/>
                <w:color w:val="000000"/>
                <w:lang w:eastAsia="ru-RU"/>
              </w:rPr>
              <w:t>IRR</w:t>
            </w:r>
          </w:p>
        </w:tc>
        <w:tc>
          <w:tcPr>
            <w:tcW w:w="1840" w:type="dxa"/>
            <w:tcBorders>
              <w:top w:val="nil"/>
              <w:left w:val="nil"/>
              <w:bottom w:val="single" w:sz="4" w:space="0" w:color="auto"/>
              <w:right w:val="single" w:sz="4" w:space="0" w:color="auto"/>
            </w:tcBorders>
            <w:shd w:val="clear" w:color="000000" w:fill="FFFFFF"/>
            <w:hideMark/>
          </w:tcPr>
          <w:p w:rsidR="00C75CDB" w:rsidRPr="003305D6" w:rsidRDefault="00C75CDB" w:rsidP="00D12C4E">
            <w:pPr>
              <w:spacing w:after="0" w:line="240" w:lineRule="auto"/>
              <w:jc w:val="center"/>
              <w:rPr>
                <w:rFonts w:ascii="Times New Roman" w:eastAsia="Times New Roman" w:hAnsi="Times New Roman"/>
                <w:color w:val="000000"/>
                <w:lang w:eastAsia="ru-RU"/>
              </w:rPr>
            </w:pPr>
            <w:r w:rsidRPr="003305D6">
              <w:rPr>
                <w:rFonts w:ascii="Times New Roman" w:eastAsia="Times New Roman" w:hAnsi="Times New Roman"/>
                <w:color w:val="000000"/>
                <w:lang w:eastAsia="ru-RU"/>
              </w:rPr>
              <w:t>17,02%</w:t>
            </w:r>
          </w:p>
        </w:tc>
        <w:tc>
          <w:tcPr>
            <w:tcW w:w="1300" w:type="dxa"/>
            <w:tcBorders>
              <w:top w:val="nil"/>
              <w:left w:val="nil"/>
              <w:bottom w:val="single" w:sz="4" w:space="0" w:color="auto"/>
              <w:right w:val="single" w:sz="4" w:space="0" w:color="auto"/>
            </w:tcBorders>
            <w:shd w:val="clear" w:color="000000" w:fill="FFFFFF"/>
            <w:hideMark/>
          </w:tcPr>
          <w:p w:rsidR="00C75CDB" w:rsidRPr="003305D6" w:rsidRDefault="00C75CDB" w:rsidP="00D12C4E">
            <w:pPr>
              <w:spacing w:after="0" w:line="240" w:lineRule="auto"/>
              <w:jc w:val="center"/>
              <w:rPr>
                <w:rFonts w:ascii="Times New Roman" w:eastAsia="Times New Roman" w:hAnsi="Times New Roman"/>
                <w:color w:val="000000"/>
                <w:lang w:eastAsia="ru-RU"/>
              </w:rPr>
            </w:pPr>
            <w:r w:rsidRPr="003305D6">
              <w:rPr>
                <w:rFonts w:ascii="Times New Roman" w:eastAsia="Times New Roman" w:hAnsi="Times New Roman"/>
                <w:color w:val="000000"/>
                <w:lang w:eastAsia="ru-RU"/>
              </w:rPr>
              <w:t>23,11%</w:t>
            </w:r>
          </w:p>
        </w:tc>
      </w:tr>
      <w:tr w:rsidR="00C75CDB" w:rsidRPr="004F4F6E" w:rsidTr="00D12C4E">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75CDB" w:rsidRPr="004F4F6E" w:rsidRDefault="00C75CDB" w:rsidP="00D12C4E">
            <w:pPr>
              <w:spacing w:after="0" w:line="240" w:lineRule="auto"/>
              <w:rPr>
                <w:rFonts w:ascii="Times New Roman" w:eastAsia="Times New Roman" w:hAnsi="Times New Roman"/>
                <w:b/>
                <w:bCs/>
                <w:color w:val="000000"/>
                <w:lang w:eastAsia="ru-RU"/>
              </w:rPr>
            </w:pPr>
            <w:r w:rsidRPr="004F4F6E">
              <w:rPr>
                <w:rFonts w:ascii="Times New Roman" w:eastAsia="Times New Roman" w:hAnsi="Times New Roman"/>
                <w:b/>
                <w:bCs/>
                <w:color w:val="000000"/>
                <w:lang w:val="en-US" w:eastAsia="ru-RU"/>
              </w:rPr>
              <w:t xml:space="preserve">PI </w:t>
            </w:r>
          </w:p>
        </w:tc>
        <w:tc>
          <w:tcPr>
            <w:tcW w:w="1840" w:type="dxa"/>
            <w:tcBorders>
              <w:top w:val="nil"/>
              <w:left w:val="nil"/>
              <w:bottom w:val="single" w:sz="4" w:space="0" w:color="auto"/>
              <w:right w:val="single" w:sz="4" w:space="0" w:color="auto"/>
            </w:tcBorders>
            <w:shd w:val="clear" w:color="000000" w:fill="FFFFFF"/>
            <w:hideMark/>
          </w:tcPr>
          <w:p w:rsidR="00C75CDB" w:rsidRPr="003305D6" w:rsidRDefault="00C75CDB" w:rsidP="00D12C4E">
            <w:pPr>
              <w:spacing w:after="0" w:line="240" w:lineRule="auto"/>
              <w:jc w:val="center"/>
              <w:rPr>
                <w:rFonts w:ascii="Times New Roman" w:eastAsia="Times New Roman" w:hAnsi="Times New Roman"/>
                <w:color w:val="000000"/>
                <w:lang w:eastAsia="ru-RU"/>
              </w:rPr>
            </w:pPr>
            <w:r w:rsidRPr="003305D6">
              <w:rPr>
                <w:rFonts w:ascii="Times New Roman" w:eastAsia="Times New Roman" w:hAnsi="Times New Roman"/>
                <w:color w:val="000000"/>
                <w:lang w:eastAsia="ru-RU"/>
              </w:rPr>
              <w:t>1,06</w:t>
            </w:r>
          </w:p>
        </w:tc>
        <w:tc>
          <w:tcPr>
            <w:tcW w:w="1300" w:type="dxa"/>
            <w:tcBorders>
              <w:top w:val="nil"/>
              <w:left w:val="nil"/>
              <w:bottom w:val="single" w:sz="4" w:space="0" w:color="auto"/>
              <w:right w:val="single" w:sz="4" w:space="0" w:color="auto"/>
            </w:tcBorders>
            <w:shd w:val="clear" w:color="000000" w:fill="FFFFFF"/>
            <w:hideMark/>
          </w:tcPr>
          <w:p w:rsidR="00C75CDB" w:rsidRPr="003305D6" w:rsidRDefault="00C75CDB" w:rsidP="00D12C4E">
            <w:pPr>
              <w:spacing w:after="0" w:line="240" w:lineRule="auto"/>
              <w:jc w:val="center"/>
              <w:rPr>
                <w:rFonts w:ascii="Times New Roman" w:eastAsia="Times New Roman" w:hAnsi="Times New Roman"/>
                <w:color w:val="000000"/>
                <w:lang w:eastAsia="ru-RU"/>
              </w:rPr>
            </w:pPr>
            <w:r w:rsidRPr="003305D6">
              <w:rPr>
                <w:rFonts w:ascii="Times New Roman" w:eastAsia="Times New Roman" w:hAnsi="Times New Roman"/>
                <w:color w:val="000000"/>
                <w:lang w:eastAsia="ru-RU"/>
              </w:rPr>
              <w:t>1,19</w:t>
            </w:r>
          </w:p>
        </w:tc>
      </w:tr>
    </w:tbl>
    <w:p w:rsidR="00C75CDB" w:rsidRPr="000432C1"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sidRPr="000432C1">
        <w:rPr>
          <w:rFonts w:ascii="Times New Roman" w:hAnsi="Times New Roman"/>
          <w:color w:val="000000"/>
        </w:rPr>
        <w:t xml:space="preserve">Таким образом, мы видим, что в обоих вариантах PV и NPV больше 0, следовательно, проекты прибыльны и можно говорить об их инвестиционной привлекательности. При этом, PV проекта А больше проекта В и NPV проекта А </w:t>
      </w:r>
      <w:r>
        <w:rPr>
          <w:rFonts w:ascii="Times New Roman" w:hAnsi="Times New Roman"/>
          <w:color w:val="000000"/>
        </w:rPr>
        <w:t xml:space="preserve">также </w:t>
      </w:r>
      <w:r w:rsidRPr="000432C1">
        <w:rPr>
          <w:rFonts w:ascii="Times New Roman" w:hAnsi="Times New Roman"/>
          <w:color w:val="000000"/>
        </w:rPr>
        <w:t xml:space="preserve">превышает проект В, что говорит о том, что с учетом </w:t>
      </w:r>
      <w:r>
        <w:rPr>
          <w:rFonts w:ascii="Times New Roman" w:hAnsi="Times New Roman"/>
          <w:color w:val="000000"/>
        </w:rPr>
        <w:t xml:space="preserve">временной стоимости денег и </w:t>
      </w:r>
      <w:r w:rsidRPr="000432C1">
        <w:rPr>
          <w:rFonts w:ascii="Times New Roman" w:hAnsi="Times New Roman"/>
          <w:color w:val="000000"/>
        </w:rPr>
        <w:t>вложенных инвестиций проект А принесет больший доход.</w:t>
      </w:r>
    </w:p>
    <w:p w:rsidR="00C75CDB" w:rsidRPr="000432C1"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sidRPr="000432C1">
        <w:rPr>
          <w:rFonts w:ascii="Times New Roman" w:hAnsi="Times New Roman"/>
          <w:color w:val="000000"/>
        </w:rPr>
        <w:t>Что касается внутренней нормы доходности (IRR), то мы видим, что она выше у проекта В, следовательно его можно считать более доходным по этому показателю.</w:t>
      </w:r>
    </w:p>
    <w:p w:rsidR="00C75CDB" w:rsidRPr="00DD6C6E"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Pr>
          <w:rFonts w:ascii="Times New Roman" w:hAnsi="Times New Roman"/>
          <w:color w:val="000000"/>
        </w:rPr>
        <w:t xml:space="preserve">Что касается индекса рентабельности PI, то следует отметить, что в обоих вариантах он больше 1, что говорит о том, что проекты интересны для рассмотрения, но в проекте В </w:t>
      </w:r>
      <w:r w:rsidRPr="00483CBF">
        <w:rPr>
          <w:rFonts w:ascii="Times New Roman" w:hAnsi="Times New Roman"/>
          <w:color w:val="000000"/>
        </w:rPr>
        <w:t>дисконтированн</w:t>
      </w:r>
      <w:r>
        <w:rPr>
          <w:rFonts w:ascii="Times New Roman" w:hAnsi="Times New Roman"/>
          <w:color w:val="000000"/>
        </w:rPr>
        <w:t>ая</w:t>
      </w:r>
      <w:r w:rsidRPr="00483CBF">
        <w:rPr>
          <w:rFonts w:ascii="Times New Roman" w:hAnsi="Times New Roman"/>
          <w:color w:val="000000"/>
        </w:rPr>
        <w:t xml:space="preserve"> стоимость денежных поступлений в расчете на единицу вложений</w:t>
      </w:r>
      <w:r>
        <w:rPr>
          <w:rFonts w:ascii="Times New Roman" w:hAnsi="Times New Roman"/>
          <w:color w:val="000000"/>
        </w:rPr>
        <w:t xml:space="preserve"> больше, следовательно он является предпочтительным относительно проекта А.</w:t>
      </w:r>
    </w:p>
    <w:p w:rsidR="00C75CDB" w:rsidRPr="000432C1"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sidRPr="000432C1">
        <w:rPr>
          <w:rFonts w:ascii="Times New Roman" w:hAnsi="Times New Roman"/>
          <w:color w:val="000000"/>
        </w:rPr>
        <w:lastRenderedPageBreak/>
        <w:t>Следует отметить, что проект В требует в семь раз меньше первоначальных инвестиций, чем проект А.</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sidRPr="000432C1">
        <w:rPr>
          <w:rFonts w:ascii="Times New Roman" w:hAnsi="Times New Roman"/>
          <w:color w:val="000000"/>
        </w:rPr>
        <w:t>Таким образом, принимая во внимание все приведенные расчеты, следует сделать заключение о преимуществе принятия проекта В относительно проекта А</w:t>
      </w:r>
      <w:r>
        <w:rPr>
          <w:rFonts w:ascii="Times New Roman" w:hAnsi="Times New Roman"/>
          <w:color w:val="000000"/>
        </w:rPr>
        <w:t>, как более рентабельного</w:t>
      </w:r>
      <w:r w:rsidRPr="000432C1">
        <w:rPr>
          <w:rFonts w:ascii="Times New Roman" w:hAnsi="Times New Roman"/>
          <w:color w:val="000000"/>
        </w:rPr>
        <w:t>. Кроме того, вариант В требует меньших инвестиционных затрат, что также говорит в его пользу.</w:t>
      </w:r>
    </w:p>
    <w:p w:rsidR="00C75CDB"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p>
    <w:p w:rsidR="00C75CDB" w:rsidRPr="00DC3314" w:rsidRDefault="00C75CDB" w:rsidP="00C75CDB">
      <w:pPr>
        <w:shd w:val="clear" w:color="auto" w:fill="FFFFFF"/>
        <w:autoSpaceDE w:val="0"/>
        <w:autoSpaceDN w:val="0"/>
        <w:adjustRightInd w:val="0"/>
        <w:spacing w:after="0" w:line="360" w:lineRule="auto"/>
        <w:ind w:firstLine="709"/>
        <w:jc w:val="both"/>
        <w:rPr>
          <w:rFonts w:ascii="Times New Roman" w:hAnsi="Times New Roman"/>
          <w:color w:val="000000"/>
        </w:rPr>
      </w:pPr>
      <w:r w:rsidRPr="00B467BD">
        <w:rPr>
          <w:rFonts w:ascii="Times New Roman" w:hAnsi="Times New Roman"/>
          <w:color w:val="000000"/>
        </w:rPr>
        <w:t>Предел использования показателя внутренней нормы рентабельности</w:t>
      </w:r>
      <w:r w:rsidR="00B467BD">
        <w:rPr>
          <w:rFonts w:ascii="Times New Roman" w:hAnsi="Times New Roman"/>
          <w:color w:val="000000"/>
        </w:rPr>
        <w:t>?</w:t>
      </w:r>
    </w:p>
    <w:p w:rsidR="005E3429" w:rsidRDefault="005E3429"/>
    <w:sectPr w:rsidR="005E3429" w:rsidSect="005E34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75CDB"/>
    <w:rsid w:val="00035E52"/>
    <w:rsid w:val="005E3429"/>
    <w:rsid w:val="00B467BD"/>
    <w:rsid w:val="00C75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C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1134</Words>
  <Characters>6468</Characters>
  <Application>Microsoft Office Word</Application>
  <DocSecurity>0</DocSecurity>
  <Lines>53</Lines>
  <Paragraphs>15</Paragraphs>
  <ScaleCrop>false</ScaleCrop>
  <Company>Organization</Company>
  <LinksUpToDate>false</LinksUpToDate>
  <CharactersWithSpaces>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dc:creator>
  <cp:keywords/>
  <dc:description/>
  <cp:lastModifiedBy>Wins</cp:lastModifiedBy>
  <cp:revision>3</cp:revision>
  <dcterms:created xsi:type="dcterms:W3CDTF">2012-11-12T06:55:00Z</dcterms:created>
  <dcterms:modified xsi:type="dcterms:W3CDTF">2012-11-12T07:47:00Z</dcterms:modified>
</cp:coreProperties>
</file>