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A6" w:rsidRDefault="00F141A6" w:rsidP="00F141A6">
      <w:pPr>
        <w:jc w:val="center"/>
        <w:rPr>
          <w:b/>
          <w:position w:val="-24"/>
        </w:rPr>
      </w:pPr>
      <w:r>
        <w:rPr>
          <w:b/>
          <w:position w:val="-24"/>
        </w:rPr>
        <w:t>Задача 1.</w:t>
      </w:r>
    </w:p>
    <w:p w:rsidR="00F141A6" w:rsidRDefault="00F141A6" w:rsidP="00F141A6">
      <w:pPr>
        <w:ind w:firstLine="708"/>
      </w:pPr>
      <w:r>
        <w:t xml:space="preserve">Излучение на длине волны  </w:t>
      </w:r>
      <m:oMath>
        <m:r>
          <w:rPr>
            <w:rFonts w:ascii="Cambria Math" w:hAnsi="Cambria Math"/>
          </w:rPr>
          <m:t>λ</m:t>
        </m:r>
      </m:oMath>
      <w:r>
        <w:t xml:space="preserve">= 0,69 мкм распространяется в рубине, параметры которого на этой длине волны имеют следующие значения: </w:t>
      </w: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=3,13</m:t>
        </m:r>
      </m:oMath>
      <w:r>
        <w:t>, разность населенностей уровней в единице объема (</w:t>
      </w:r>
      <w:r>
        <w:rPr>
          <w:i/>
          <w:lang w:val="en-US"/>
        </w:rPr>
        <w:t>N</w:t>
      </w:r>
      <w:r>
        <w:rPr>
          <w:vertAlign w:val="subscript"/>
        </w:rPr>
        <w:t>1</w:t>
      </w:r>
      <w:r>
        <w:t>-</w:t>
      </w:r>
      <w:r>
        <w:rPr>
          <w:i/>
          <w:lang w:val="en-US"/>
        </w:rPr>
        <w:t>N</w:t>
      </w:r>
      <w:r>
        <w:rPr>
          <w:vertAlign w:val="subscript"/>
        </w:rPr>
        <w:t>2</w:t>
      </w:r>
      <w:r>
        <w:t xml:space="preserve">) = </w:t>
      </w:r>
      <m:oMath>
        <m:r>
          <w:rPr>
            <w:rFonts w:ascii="Cambria Math" w:hAnsi="Cambria Math"/>
          </w:rPr>
          <m:t>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>
        <w:t xml:space="preserve"> м</w:t>
      </w:r>
      <w:r>
        <w:rPr>
          <w:vertAlign w:val="superscript"/>
        </w:rPr>
        <w:t>-3</w:t>
      </w:r>
      <w:r>
        <w:t xml:space="preserve">, </w:t>
      </w:r>
      <w:r>
        <w:rPr>
          <w:i/>
          <w:lang w:val="en-US"/>
        </w:rPr>
        <w:t>T</w:t>
      </w:r>
      <w:r>
        <w:rPr>
          <w:vertAlign w:val="subscript"/>
        </w:rPr>
        <w:t>2</w:t>
      </w:r>
      <w:r>
        <w:t>=0,7*10</w:t>
      </w:r>
      <w:r>
        <w:rPr>
          <w:vertAlign w:val="superscript"/>
        </w:rPr>
        <w:t>-11</w:t>
      </w:r>
      <w:r>
        <w:t xml:space="preserve"> </w:t>
      </w:r>
      <w:proofErr w:type="gramStart"/>
      <w:r>
        <w:t>с</w:t>
      </w:r>
      <w:proofErr w:type="gramEnd"/>
      <w:r>
        <w:t xml:space="preserve">, средний дипольный момент </w:t>
      </w:r>
      <w:r>
        <w:rPr>
          <w:i/>
          <w:lang w:val="en-US"/>
        </w:rPr>
        <w:t>d</w:t>
      </w:r>
      <w:r>
        <w:rPr>
          <w:vertAlign w:val="subscript"/>
        </w:rPr>
        <w:t>12</w:t>
      </w:r>
      <w:r>
        <w:t xml:space="preserve"> = 10</w:t>
      </w:r>
      <w:r>
        <w:rPr>
          <w:vertAlign w:val="superscript"/>
        </w:rPr>
        <w:t>-32</w:t>
      </w:r>
      <w:r>
        <w:t xml:space="preserve"> Кл*м. Определить, во сколько раз затухает излучение на выходе рубинового стержня длиной 30 см.</w:t>
      </w:r>
    </w:p>
    <w:p w:rsidR="00F141A6" w:rsidRDefault="00F141A6" w:rsidP="00F141A6">
      <w:pPr>
        <w:rPr>
          <w:position w:val="-24"/>
        </w:rPr>
      </w:pPr>
    </w:p>
    <w:p w:rsidR="00F141A6" w:rsidRDefault="00F141A6" w:rsidP="00F141A6">
      <w:pPr>
        <w:jc w:val="center"/>
        <w:rPr>
          <w:b/>
          <w:position w:val="-24"/>
        </w:rPr>
      </w:pPr>
      <w:r>
        <w:rPr>
          <w:b/>
          <w:position w:val="-24"/>
        </w:rPr>
        <w:t>Задача 2.</w:t>
      </w:r>
    </w:p>
    <w:p w:rsidR="00F141A6" w:rsidRDefault="00F141A6" w:rsidP="00F141A6">
      <w:pPr>
        <w:ind w:firstLine="708"/>
      </w:pPr>
      <w:r>
        <w:t xml:space="preserve">Резонансное излучение, проходя через пары аммиака, изменяет населенность энергетических уровней. При давлении </w:t>
      </w:r>
      <w:proofErr w:type="gramStart"/>
      <w:r>
        <w:rPr>
          <w:i/>
        </w:rPr>
        <w:t>р</w:t>
      </w:r>
      <w:proofErr w:type="gramEnd"/>
      <w:r>
        <w:t xml:space="preserve"> = 4*10</w:t>
      </w:r>
      <w:r>
        <w:rPr>
          <w:vertAlign w:val="superscript"/>
        </w:rPr>
        <w:t>-2</w:t>
      </w:r>
      <w:r>
        <w:t xml:space="preserve"> мм. рт. ст.  получены следующие характеристики: </w:t>
      </w:r>
      <w:r>
        <w:rPr>
          <w:i/>
        </w:rPr>
        <w:t>Т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</w:t>
      </w:r>
      <w:r>
        <w:t>= 0,3*10</w:t>
      </w:r>
      <w:r>
        <w:rPr>
          <w:vertAlign w:val="superscript"/>
        </w:rPr>
        <w:t>-6</w:t>
      </w:r>
      <w:r>
        <w:t xml:space="preserve"> с, </w:t>
      </w:r>
      <w:r>
        <w:rPr>
          <w:i/>
        </w:rPr>
        <w:t>Т</w:t>
      </w:r>
      <w:r w:rsidR="007D6C19">
        <w:rPr>
          <w:i/>
          <w:vertAlign w:val="subscript"/>
        </w:rPr>
        <w:t>2</w:t>
      </w:r>
      <w:r>
        <w:t xml:space="preserve"> = 0,16*10</w:t>
      </w:r>
      <w:r>
        <w:rPr>
          <w:vertAlign w:val="superscript"/>
        </w:rPr>
        <w:t>-6</w:t>
      </w:r>
      <w:r>
        <w:t xml:space="preserve"> с. Чему равна величина дипольного момента перехода </w:t>
      </w:r>
      <w:r>
        <w:rPr>
          <w:lang w:val="en-US"/>
        </w:rPr>
        <w:t>d</w:t>
      </w:r>
      <w:r>
        <w:rPr>
          <w:vertAlign w:val="subscript"/>
        </w:rPr>
        <w:t>12</w:t>
      </w:r>
      <w:r>
        <w:t xml:space="preserve">, если насыщение происходит при интенсивности проходящего излучения </w:t>
      </w:r>
      <w:proofErr w:type="spellStart"/>
      <w:r>
        <w:rPr>
          <w:i/>
        </w:rPr>
        <w:t>П</w:t>
      </w:r>
      <w:r>
        <w:rPr>
          <w:vertAlign w:val="subscript"/>
        </w:rPr>
        <w:t>нас</w:t>
      </w:r>
      <w:proofErr w:type="spellEnd"/>
      <w:r>
        <w:t xml:space="preserve"> = 6 мВт/см</w:t>
      </w:r>
      <w:r>
        <w:rPr>
          <w:vertAlign w:val="superscript"/>
        </w:rPr>
        <w:t>2</w:t>
      </w:r>
      <w:r>
        <w:t>? Чему равна ширина линии перехода в этом случае?</w:t>
      </w:r>
    </w:p>
    <w:p w:rsidR="00F141A6" w:rsidRDefault="00F141A6" w:rsidP="00F141A6">
      <w:pPr>
        <w:jc w:val="center"/>
        <w:rPr>
          <w:b/>
          <w:position w:val="-24"/>
        </w:rPr>
      </w:pPr>
    </w:p>
    <w:p w:rsidR="00F141A6" w:rsidRDefault="00F141A6" w:rsidP="00F141A6">
      <w:pPr>
        <w:jc w:val="center"/>
        <w:rPr>
          <w:b/>
          <w:position w:val="-24"/>
        </w:rPr>
      </w:pPr>
      <w:r>
        <w:rPr>
          <w:b/>
          <w:position w:val="-24"/>
        </w:rPr>
        <w:t>Задача 3.</w:t>
      </w:r>
    </w:p>
    <w:p w:rsidR="00F141A6" w:rsidRDefault="00F141A6" w:rsidP="00F141A6">
      <w:pPr>
        <w:ind w:firstLine="708"/>
        <w:jc w:val="left"/>
      </w:pPr>
      <w:r>
        <w:t xml:space="preserve">Определить силу, действующую на электрон, находящийся в </w:t>
      </w:r>
      <w:proofErr w:type="spellStart"/>
      <w:r>
        <w:t>непараболлической</w:t>
      </w:r>
      <w:proofErr w:type="spellEnd"/>
      <w:r>
        <w:t xml:space="preserve"> потенциальной яме, если потенциал поля в окрестности точки равновесия описывается функцией</w:t>
      </w:r>
    </w:p>
    <w:p w:rsidR="00F141A6" w:rsidRDefault="00F141A6" w:rsidP="00F141A6"/>
    <w:p w:rsidR="00F141A6" w:rsidRDefault="00F141A6" w:rsidP="00F141A6">
      <w:pPr>
        <w:rPr>
          <w:i/>
        </w:rPr>
      </w:pPr>
      <m:oMathPara>
        <m:oMath>
          <m:r>
            <w:rPr>
              <w:rFonts w:ascii="Cambria Math" w:hAnsi="Cambria Math"/>
            </w:rPr>
            <m:t>ф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2e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mξ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3e</m:t>
              </m:r>
            </m:den>
          </m:f>
        </m:oMath>
      </m:oMathPara>
    </w:p>
    <w:p w:rsidR="00F141A6" w:rsidRDefault="00F141A6" w:rsidP="00F141A6">
      <w:pPr>
        <w:jc w:val="center"/>
        <w:rPr>
          <w:b/>
          <w:position w:val="-24"/>
        </w:rPr>
      </w:pPr>
    </w:p>
    <w:p w:rsidR="00F141A6" w:rsidRDefault="00F141A6" w:rsidP="00F141A6">
      <w:pPr>
        <w:jc w:val="center"/>
        <w:rPr>
          <w:position w:val="-24"/>
        </w:rPr>
      </w:pPr>
      <w:r>
        <w:rPr>
          <w:b/>
          <w:position w:val="-24"/>
        </w:rPr>
        <w:t>Задача 4.</w:t>
      </w:r>
    </w:p>
    <w:p w:rsidR="00BC19BF" w:rsidRDefault="00F141A6" w:rsidP="00BC19BF">
      <w:pPr>
        <w:ind w:firstLine="708"/>
      </w:pPr>
      <w:r>
        <w:t xml:space="preserve">Считая, что </w:t>
      </w:r>
      <w:proofErr w:type="spellStart"/>
      <w:r>
        <w:t>непараболичность</w:t>
      </w:r>
      <w:proofErr w:type="spellEnd"/>
      <w:r>
        <w:t xml:space="preserve"> потенциальной ямы создается с помощью двух зарядов 2</w:t>
      </w:r>
      <w:r>
        <w:rPr>
          <w:i/>
        </w:rPr>
        <w:t>е</w:t>
      </w:r>
      <w:r>
        <w:t xml:space="preserve"> и </w:t>
      </w:r>
      <w:r>
        <w:rPr>
          <w:i/>
        </w:rPr>
        <w:t>е</w:t>
      </w:r>
      <w:r>
        <w:t xml:space="preserve">, разнесенных на расстояние </w:t>
      </w:r>
      <w:r>
        <w:rPr>
          <w:i/>
          <w:lang w:val="en-US"/>
        </w:rPr>
        <w:t>r</w:t>
      </w:r>
      <w:r>
        <w:rPr>
          <w:vertAlign w:val="subscript"/>
        </w:rPr>
        <w:t>0</w:t>
      </w:r>
      <w:r>
        <w:t xml:space="preserve">, определить параметр </w:t>
      </w:r>
      <w:proofErr w:type="spellStart"/>
      <w:r>
        <w:t>ангармоничности</w:t>
      </w:r>
      <w:proofErr w:type="spellEnd"/>
      <w:r>
        <w:t xml:space="preserve"> </w:t>
      </w:r>
      <m:oMath>
        <m:r>
          <w:rPr>
            <w:rFonts w:ascii="Cambria Math" w:hAnsi="Cambria Math"/>
          </w:rPr>
          <m:t>ξ</m:t>
        </m:r>
      </m:oMath>
      <w:r>
        <w:t xml:space="preserve"> в задании 3.</w:t>
      </w:r>
    </w:p>
    <w:p w:rsidR="00F141A6" w:rsidRDefault="00F141A6" w:rsidP="00F141A6">
      <w:pPr>
        <w:ind w:firstLine="708"/>
      </w:pPr>
      <w:r>
        <w:rPr>
          <w:b/>
        </w:rPr>
        <w:t xml:space="preserve">Указание: </w:t>
      </w:r>
      <w:r>
        <w:t xml:space="preserve">разложить потенциал системы в ряд Тейлора вблизи </w:t>
      </w:r>
      <w:r>
        <w:rPr>
          <w:i/>
        </w:rPr>
        <w:t>х</w:t>
      </w:r>
      <w:r>
        <w:t xml:space="preserve"> = </w:t>
      </w:r>
      <w:proofErr w:type="gramStart"/>
      <w:r>
        <w:rPr>
          <w:i/>
        </w:rPr>
        <w:t>х</w:t>
      </w:r>
      <w:proofErr w:type="gramEnd"/>
      <w:r>
        <w:rPr>
          <w:vertAlign w:val="subscript"/>
          <w:lang w:val="en-US"/>
        </w:rPr>
        <w:t>min</w:t>
      </w:r>
      <w:r>
        <w:t>. Приравняйте член –</w:t>
      </w:r>
      <w:r>
        <w:rPr>
          <w:lang w:val="en-US"/>
        </w:rPr>
        <w:t>x</w:t>
      </w:r>
      <w:r>
        <w:rPr>
          <w:vertAlign w:val="superscript"/>
        </w:rPr>
        <w:t xml:space="preserve">3 </w:t>
      </w:r>
      <w:r>
        <w:t>/</w:t>
      </w:r>
      <w:r>
        <w:rPr>
          <w:lang w:val="en-US"/>
        </w:rPr>
        <w:t>r</w:t>
      </w:r>
      <w:r>
        <w:rPr>
          <w:vertAlign w:val="superscript"/>
        </w:rPr>
        <w:t xml:space="preserve">3 </w:t>
      </w:r>
      <w:r>
        <w:t xml:space="preserve">второму слагаемому в выражении для </w:t>
      </w:r>
      <w:proofErr w:type="gramStart"/>
      <w:r>
        <w:rPr>
          <w:i/>
        </w:rPr>
        <w:t>ф</w:t>
      </w:r>
      <w:r>
        <w:t>(</w:t>
      </w:r>
      <w:proofErr w:type="gramEnd"/>
      <w:r>
        <w:t>х).</w:t>
      </w:r>
    </w:p>
    <w:p w:rsidR="00BC19BF" w:rsidRDefault="00BC19BF" w:rsidP="00F141A6">
      <w:pPr>
        <w:ind w:firstLine="708"/>
        <w:rPr>
          <w:position w:val="-24"/>
        </w:rPr>
      </w:pPr>
      <w:r w:rsidRPr="00BC19BF">
        <w:rPr>
          <w:position w:val="-24"/>
        </w:rPr>
        <w:t>Литература:</w:t>
      </w:r>
      <w:r>
        <w:rPr>
          <w:position w:val="-24"/>
        </w:rPr>
        <w:t xml:space="preserve"> Лобов, «Устройства первичной обработки микроволновых сигналов», 1990 г., ответ и задание на стр. 97.</w:t>
      </w:r>
      <w:bookmarkStart w:id="0" w:name="_GoBack"/>
      <w:bookmarkEnd w:id="0"/>
    </w:p>
    <w:p w:rsidR="00644E73" w:rsidRDefault="00644E73"/>
    <w:sectPr w:rsidR="0064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8"/>
    <w:rsid w:val="0053655D"/>
    <w:rsid w:val="00644E73"/>
    <w:rsid w:val="007D6C19"/>
    <w:rsid w:val="00BC19BF"/>
    <w:rsid w:val="00CE4968"/>
    <w:rsid w:val="00F141A6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2012-03-13T13:42:00Z</dcterms:created>
  <dcterms:modified xsi:type="dcterms:W3CDTF">2012-04-05T13:58:00Z</dcterms:modified>
</cp:coreProperties>
</file>